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19B5A418">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qui est le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D22B85" w14:paraId="748453DD" w14:textId="57913299">
                <w:pPr>
                  <w:pStyle w:val="ZCom"/>
                </w:pPr>
                <w:sdt>
                  <w:sdtPr>
                    <w:id w:val="1852987933"/>
                    <w:dataBinding w:xpath="/Texts/OrgaRoot" w:storeItemID="{4EF90DE6-88B6-4264-9629-4D8DFDFE87D2}"/>
                    <w:text w:multiLine="1"/>
                  </w:sdtPr>
                  <w:sdtEndPr/>
                  <w:sdtContent>
                    <w:r w:rsidR="00A033AD">
                      <w:t xml:space="preserve">   COMMISSION EUROPÉENNE </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Pr="00704C3D" w:rsidR="00F6462F" w:rsidP="008D02B7" w:rsidRDefault="000A4668" w14:paraId="2EA71B94" w14:textId="7F00DE5D">
      <w:pPr>
        <w:pStyle w:val="NoteHead"/>
        <w:spacing w:before="600" w:after="600"/>
        <w:rPr>
          <w:lang w:val="fr-BE"/>
        </w:rPr>
      </w:pPr>
      <w:r w:rsidRPr="00704C3D">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Pr="005647D1" w:rsidR="00B65513" w:rsidTr="0B0701E2"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eastAsia="en-GB"/>
              </w:rPr>
              <w:t>DG – Direction – Unité</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5647D1" w:rsidR="00B65513" w:rsidP="00E82667" w:rsidRDefault="00B61B51" w14:paraId="786241CD" w14:textId="3B459F3D">
                <w:pPr>
                  <w:tabs>
                    <w:tab w:val="left" w:pos="426"/>
                  </w:tabs>
                  <w:spacing w:before="120"/>
                  <w:rPr>
                    <w:bCs/>
                    <w:lang w:val="fr-BE" w:eastAsia="en-GB"/>
                  </w:rPr>
                </w:pPr>
                <w:r w:rsidRPr="005647D1">
                  <w:rPr>
                    <w:bCs/>
                    <w:lang w:val="fr-BE" w:eastAsia="en-GB"/>
                  </w:rPr>
                  <w:t>DG DEFIS A</w:t>
                </w:r>
                <w:r w:rsidR="00E06776">
                  <w:rPr>
                    <w:bCs/>
                    <w:lang w:val="fr-BE" w:eastAsia="en-GB"/>
                  </w:rPr>
                  <w:t>1</w:t>
                </w:r>
              </w:p>
            </w:tc>
          </w:sdtContent>
        </w:sdt>
      </w:tr>
      <w:tr w:rsidRPr="00704C3D" w:rsidR="00D96984" w:rsidTr="0B0701E2" w14:paraId="4B8EFB62" w14:textId="77777777">
        <w:tc>
          <w:tcPr>
            <w:tcW w:w="3111" w:type="dxa"/>
            <w:tcMar/>
          </w:tcPr>
          <w:p w:rsidRPr="00704C3D" w:rsidR="00D96984" w:rsidP="00E82667" w:rsidRDefault="00D96984" w14:paraId="51EA5B20" w14:textId="30D9C7F2">
            <w:pPr>
              <w:tabs>
                <w:tab w:val="left" w:pos="426"/>
              </w:tabs>
              <w:spacing w:before="120"/>
              <w:rPr>
                <w:bCs/>
                <w:lang w:val="fr-BE" w:eastAsia="en-GB"/>
              </w:rPr>
            </w:pPr>
            <w:r w:rsidRPr="00704C3D">
              <w:rPr>
                <w:bCs/>
                <w:lang w:val="fr-BE" w:eastAsia="en-GB"/>
              </w:rPr>
              <w:t>Numéro de message dans le sysper :</w:t>
            </w:r>
          </w:p>
        </w:tc>
        <w:sdt>
          <w:sdtPr>
            <w:rPr>
              <w:bCs/>
              <w:lang w:val="en-IE" w:eastAsia="en-GB"/>
            </w:rPr>
            <w:id w:val="-1097018598"/>
            <w:placeholder>
              <w:docPart w:val="3871F4C8F6E14B05BF9EE73CF8984495"/>
            </w:placeholder>
          </w:sdtPr>
          <w:sdtEndPr>
            <w:rPr>
              <w:rFonts w:asciiTheme="minorHAnsi" w:hAnsiTheme="minorHAnsi" w:cstheme="minorHAnsi"/>
              <w:sz w:val="22"/>
              <w:szCs w:val="22"/>
            </w:rPr>
          </w:sdtEndPr>
          <w:sdtContent>
            <w:tc>
              <w:tcPr>
                <w:tcW w:w="5491" w:type="dxa"/>
                <w:tcMar/>
              </w:tcPr>
              <w:p w:rsidRPr="00704C3D" w:rsidR="00D96984" w:rsidP="0B0701E2" w:rsidRDefault="00E06776" w14:paraId="26B6BD75" w14:textId="67C7CF5A">
                <w:pPr>
                  <w:tabs>
                    <w:tab w:val="left" w:pos="426"/>
                  </w:tabs>
                  <w:spacing w:before="120"/>
                  <w:rPr>
                    <w:rFonts w:ascii="Calibri" w:hAnsi="Calibri" w:cs="Calibri" w:asciiTheme="minorAscii" w:hAnsiTheme="minorAscii" w:cstheme="minorAscii"/>
                    <w:sz w:val="22"/>
                    <w:szCs w:val="22"/>
                    <w:lang w:val="en-IE" w:eastAsia="en-GB"/>
                  </w:rPr>
                </w:pPr>
              </w:p>
            </w:tc>
          </w:sdtContent>
        </w:sdt>
      </w:tr>
      <w:tr w:rsidRPr="00D22B85" w:rsidR="00E21DBD" w:rsidTr="0B0701E2" w14:paraId="4E8359D5" w14:textId="77777777">
        <w:tc>
          <w:tcPr>
            <w:tcW w:w="3111" w:type="dxa"/>
            <w:tcMar/>
          </w:tcPr>
          <w:p w:rsidRPr="00704C3D" w:rsidR="00E21DBD" w:rsidP="00E82667" w:rsidRDefault="00B65513" w14:paraId="72A7A894" w14:textId="1DC6A465">
            <w:pPr>
              <w:tabs>
                <w:tab w:val="left" w:pos="1697"/>
              </w:tabs>
              <w:spacing w:before="120"/>
              <w:ind w:right="-1741"/>
              <w:rPr>
                <w:bCs/>
                <w:szCs w:val="24"/>
                <w:lang w:val="fr-BE" w:eastAsia="en-GB"/>
              </w:rPr>
            </w:pPr>
            <w:r w:rsidRPr="00704C3D">
              <w:rPr>
                <w:bCs/>
                <w:szCs w:val="24"/>
                <w:lang w:val="fr-BE" w:eastAsia="en-GB"/>
              </w:rPr>
              <w:t>Personne de contact :</w:t>
            </w:r>
          </w:p>
          <w:p w:rsidRPr="00704C3D" w:rsidR="00E21DBD" w:rsidP="00E82667" w:rsidRDefault="00C75BA4" w14:paraId="1BD76B84" w14:textId="2ED3769A">
            <w:pPr>
              <w:tabs>
                <w:tab w:val="left" w:pos="1697"/>
              </w:tabs>
              <w:ind w:right="-1739"/>
              <w:contextualSpacing/>
              <w:rPr>
                <w:bCs/>
                <w:szCs w:val="24"/>
                <w:lang w:val="fr-BE" w:eastAsia="en-GB"/>
              </w:rPr>
            </w:pPr>
            <w:r w:rsidRPr="00704C3D">
              <w:rPr>
                <w:bCs/>
                <w:szCs w:val="24"/>
                <w:lang w:val="fr-BE" w:eastAsia="en-GB"/>
              </w:rPr>
              <w:t>Date d'entrée en fonction prévisionnelle :</w:t>
            </w:r>
          </w:p>
          <w:p w:rsidRPr="00704C3D" w:rsidR="00E21DBD" w:rsidP="00E82667" w:rsidRDefault="00C75BA4" w14:paraId="324479C0" w14:textId="6E052826">
            <w:pPr>
              <w:tabs>
                <w:tab w:val="left" w:pos="1697"/>
              </w:tabs>
              <w:ind w:right="-1739"/>
              <w:contextualSpacing/>
              <w:rPr>
                <w:bCs/>
                <w:szCs w:val="24"/>
                <w:lang w:val="fr-BE" w:eastAsia="en-GB"/>
              </w:rPr>
            </w:pPr>
            <w:r w:rsidRPr="00704C3D">
              <w:rPr>
                <w:bCs/>
                <w:szCs w:val="24"/>
                <w:lang w:val="fr-BE" w:eastAsia="en-GB"/>
              </w:rPr>
              <w:t>Durée initiale :</w:t>
            </w:r>
          </w:p>
          <w:p w:rsidRPr="00704C3D" w:rsidR="00E21DBD" w:rsidP="00E82667" w:rsidRDefault="00E21DBD" w14:paraId="07FF8994" w14:textId="77777777">
            <w:pPr>
              <w:tabs>
                <w:tab w:val="left" w:pos="426"/>
              </w:tabs>
              <w:spacing w:after="0"/>
              <w:contextualSpacing/>
              <w:rPr>
                <w:bCs/>
                <w:lang w:val="fr-BE" w:eastAsia="en-GB"/>
              </w:rPr>
            </w:pPr>
            <w:r w:rsidRPr="00704C3D">
              <w:rPr>
                <w:bCs/>
                <w:szCs w:val="24"/>
                <w:lang w:val="fr-BE" w:eastAsia="en-GB"/>
              </w:rPr>
              <w:t>Lieu de détachement :</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704C3D" w:rsidR="00E21DBD" w:rsidP="00E82667" w:rsidRDefault="00466BA3" w14:paraId="714DA989" w14:textId="3FEA6320">
                <w:pPr>
                  <w:tabs>
                    <w:tab w:val="left" w:pos="426"/>
                  </w:tabs>
                  <w:spacing w:before="120"/>
                  <w:rPr>
                    <w:bCs/>
                    <w:lang w:val="fr-BE" w:eastAsia="en-GB"/>
                  </w:rPr>
                </w:pPr>
                <w:r w:rsidRPr="00466BA3">
                  <w:rPr>
                    <w:bCs/>
                    <w:lang w:val="fr-BE" w:eastAsia="en-GB"/>
                  </w:rPr>
                  <w:t>Guillaume DE LA BROSSE</w:t>
                </w:r>
              </w:p>
            </w:sdtContent>
          </w:sdt>
          <w:p w:rsidRPr="00704C3D" w:rsidR="00E21DBD" w:rsidP="00E82667" w:rsidRDefault="00D22B85" w14:paraId="34CF737A" w14:textId="26A2C0FB">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Pr="00704C3D" w:rsidR="005E698F">
                  <w:rPr>
                    <w:bCs/>
                    <w:lang w:val="fr-BE" w:eastAsia="en-GB"/>
                  </w:rPr>
                  <w:t xml:space="preserve">   </w:t>
                </w:r>
                <w:r w:rsidR="00E06776">
                  <w:rPr>
                    <w:bCs/>
                    <w:lang w:val="fr-BE" w:eastAsia="en-GB"/>
                  </w:rPr>
                  <w:t>2</w:t>
                </w:r>
                <w:r w:rsidRPr="00DE329F" w:rsidR="00DE329F">
                  <w:rPr>
                    <w:bCs/>
                    <w:lang w:val="fr-BE" w:eastAsia="en-GB"/>
                  </w:rPr>
                  <w:t>è</w:t>
                </w:r>
                <w:r w:rsidR="00E06776">
                  <w:rPr>
                    <w:bCs/>
                    <w:lang w:val="fr-BE" w:eastAsia="en-GB"/>
                  </w:rPr>
                  <w:t>me</w:t>
                </w:r>
                <w:r w:rsidRPr="00DE329F" w:rsidR="00DE329F">
                  <w:rPr>
                    <w:bCs/>
                    <w:lang w:val="fr-BE" w:eastAsia="en-GB"/>
                  </w:rPr>
                  <w:t xml:space="preserve"> trimestre</w:t>
                </w:r>
                <w:r w:rsidRPr="00704C3D" w:rsidR="005E698F">
                  <w:rPr>
                    <w:bCs/>
                    <w:lang w:val="fr-BE" w:eastAsia="en-GB"/>
                  </w:rPr>
                  <w:t xml:space="preserve"> </w:t>
                </w:r>
              </w:sdtContent>
            </w:sdt>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46B67">
                  <w:rPr>
                    <w:bCs/>
                    <w:lang w:val="fr-BE" w:eastAsia="en-GB"/>
                  </w:rPr>
                  <w:t>2026</w:t>
                </w:r>
              </w:sdtContent>
            </w:sdt>
          </w:p>
          <w:p w:rsidRPr="00704C3D" w:rsidR="00E21DBD" w:rsidP="00E82667" w:rsidRDefault="00D22B85" w14:paraId="158DD156" w14:textId="4249178C">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Pr="00704C3D" w:rsidR="00B61B51">
                  <w:rPr>
                    <w:bCs/>
                    <w:lang w:val="fr-BE" w:eastAsia="en-GB"/>
                  </w:rPr>
                  <w:t xml:space="preserve">   2 </w:t>
                </w:r>
              </w:sdtContent>
            </w:sdt>
            <w:r w:rsidRPr="00704C3D" w:rsidR="00E21DBD">
              <w:rPr>
                <w:bCs/>
                <w:lang w:val="fr-BE" w:eastAsia="en-GB"/>
              </w:rPr>
              <w:t xml:space="preserve"> années</w:t>
            </w:r>
            <w:r w:rsidRPr="00704C3D" w:rsidR="00E21DBD">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Pr="00704C3D" w:rsidR="00B61B51">
                  <w:rPr>
                    <w:rFonts w:hint="eastAsia" w:ascii="MS Gothic" w:hAnsi="MS Gothic" w:eastAsia="MS Gothic"/>
                    <w:bCs/>
                    <w:szCs w:val="24"/>
                    <w:lang w:val="fr-BE" w:eastAsia="en-GB"/>
                  </w:rPr>
                  <w:t xml:space="preserve">   ☒ </w:t>
                </w:r>
              </w:sdtContent>
            </w:sdt>
            <w:r w:rsidRPr="00704C3D" w:rsidR="00E21DBD">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Pr="00704C3D" w:rsidR="007F02AC">
                  <w:rPr>
                    <w:rFonts w:hint="eastAsia" w:ascii="MS Gothic" w:hAnsi="MS Gothic" w:eastAsia="MS Gothic"/>
                    <w:bCs/>
                    <w:szCs w:val="24"/>
                    <w:lang w:val="fr-BE" w:eastAsia="en-GB"/>
                  </w:rPr>
                  <w:t xml:space="preserve">   ☐ </w:t>
                </w:r>
              </w:sdtContent>
            </w:sdt>
            <w:r w:rsidRPr="00704C3D" w:rsidR="00E21DBD">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Pr="00704C3D" w:rsidR="002109E6">
                  <w:rPr>
                    <w:rFonts w:hint="eastAsia" w:ascii="MS Gothic" w:hAnsi="MS Gothic" w:eastAsia="MS Gothic"/>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Pr="005647D1" w:rsidR="0007110E">
                  <w:rPr>
                    <w:rStyle w:val="PlaceholderText"/>
                    <w:lang w:val="fr-BE"/>
                  </w:rPr>
                  <w:t xml:space="preserve">   Cliquez ou appuyez ici pour saisir du texte. </w:t>
                </w:r>
              </w:sdtContent>
            </w:sdt>
          </w:p>
          <w:p w:rsidRPr="00704C3D" w:rsidR="00E21DBD" w:rsidP="00E82667" w:rsidRDefault="00E21DBD" w14:paraId="7CA484B0" w14:textId="77777777">
            <w:pPr>
              <w:tabs>
                <w:tab w:val="left" w:pos="426"/>
              </w:tabs>
              <w:spacing w:before="120" w:after="0"/>
              <w:contextualSpacing/>
              <w:rPr>
                <w:bCs/>
                <w:lang w:val="fr-BE" w:eastAsia="en-GB"/>
              </w:rPr>
            </w:pPr>
          </w:p>
        </w:tc>
      </w:tr>
      <w:tr w:rsidRPr="00AF417C" w:rsidR="00E21DBD" w:rsidTr="0B0701E2" w14:paraId="01F2BC57" w14:textId="77777777">
        <w:tc>
          <w:tcPr>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eastAsia="en-GB"/>
              </w:rPr>
              <w:t>Type de détachement</w:t>
            </w:r>
          </w:p>
        </w:tc>
        <w:tc>
          <w:tcPr>
            <w:tcW w:w="5491" w:type="dxa"/>
            <w:tcMar/>
          </w:tcPr>
          <w:p w:rsidRPr="0007110E" w:rsidR="00E21DBD" w:rsidP="00E82667" w:rsidRDefault="008F4BA9" w14:paraId="6B14399A" w14:textId="64358CB2">
            <w:pPr>
              <w:tabs>
                <w:tab w:val="left" w:pos="426"/>
              </w:tabs>
              <w:spacing w:before="120"/>
              <w:rPr>
                <w:bCs/>
                <w:lang w:val="en-IE" w:eastAsia="en-GB"/>
              </w:rPr>
            </w:pPr>
            <w:r>
              <w:rPr>
                <w:bCs/>
                <w:lang w:eastAsia="en-GB"/>
              </w:rPr>
              <w:object w:dxaOrig="1440" w:dyaOrig="1440"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lang w:eastAsia="en-GB"/>
              </w:rPr>
              <w:object w:dxaOrig="1440" w:dyaOrig="1440" w14:anchorId="1B1CECAE">
                <v:shape id="_x0000_i1039" style="width:108pt;height:21.75pt" o:ole="" type="#_x0000_t75">
                  <v:imagedata o:title="" r:id="rId17"/>
                </v:shape>
                <w:control w:name="OptionButton7" w:shapeid="_x0000_i1039" r:id="rId18"/>
              </w:object>
            </w:r>
          </w:p>
        </w:tc>
      </w:tr>
      <w:tr w:rsidRPr="00994062" w:rsidR="00E21DBD" w:rsidTr="0B0701E2" w14:paraId="539D0BAC" w14:textId="77777777">
        <w:tc>
          <w:tcPr>
            <w:tcW w:w="8602" w:type="dxa"/>
            <w:gridSpan w:val="2"/>
            <w:tcMar/>
          </w:tcPr>
          <w:p w:rsidRPr="00704C3D" w:rsidR="00E21DBD" w:rsidP="00E82667" w:rsidRDefault="00E21DBD" w14:paraId="582FFE97" w14:textId="38200397">
            <w:pPr>
              <w:tabs>
                <w:tab w:val="left" w:pos="426"/>
              </w:tabs>
              <w:spacing w:before="120"/>
              <w:rPr>
                <w:bCs/>
                <w:lang w:val="fr-BE" w:eastAsia="en-GB"/>
              </w:rPr>
            </w:pPr>
            <w:r w:rsidRPr="00704C3D">
              <w:rPr>
                <w:bCs/>
                <w:lang w:val="fr-BE" w:eastAsia="en-GB"/>
              </w:rPr>
              <w:t>Le présent avis de vacance s'adresse :</w:t>
            </w:r>
          </w:p>
          <w:p w:rsidR="00E21DBD" w:rsidP="00E21DBD" w:rsidRDefault="00E82667" w14:paraId="4446CE69" w14:textId="2B6120C8">
            <w:pPr>
              <w:tabs>
                <w:tab w:val="left" w:pos="426"/>
              </w:tabs>
              <w:contextualSpacing/>
              <w:rPr>
                <w:bCs/>
                <w:szCs w:val="24"/>
                <w:lang w:eastAsia="en-GB"/>
              </w:rPr>
            </w:pPr>
            <w:r>
              <w:rPr>
                <w:bCs/>
                <w:lang w:eastAsia="en-GB"/>
              </w:rPr>
              <w:object w:dxaOrig="1440" w:dyaOrig="1440" w14:anchorId="7CA3F499">
                <v:shape id="_x0000_i1041" style="width:108pt;height:21.75pt" o:ole="" type="#_x0000_t75">
                  <v:imagedata o:title="" r:id="rId19"/>
                </v:shape>
                <w:control w:name="OptionButton4" w:shapeid="_x0000_i1041" r:id="rId20"/>
              </w:object>
            </w:r>
          </w:p>
          <w:p w:rsidRPr="00704C3D" w:rsidR="0040388A" w:rsidP="002C49D0" w:rsidRDefault="0040388A" w14:paraId="41B550FE" w14:textId="59EA556E">
            <w:pPr>
              <w:tabs>
                <w:tab w:val="left" w:pos="426"/>
              </w:tabs>
              <w:spacing w:after="120"/>
              <w:ind w:left="567"/>
              <w:rPr>
                <w:bCs/>
                <w:szCs w:val="24"/>
                <w:lang w:val="fr-BE" w:eastAsia="en-GB"/>
              </w:rPr>
            </w:pPr>
            <w:r w:rsidRPr="00704C3D">
              <w:rPr>
                <w:bCs/>
                <w:szCs w:val="24"/>
                <w:lang w:val="fr-BE" w:eastAsia="en-GB"/>
              </w:rPr>
              <w:t>ainsi que</w:t>
            </w:r>
          </w:p>
          <w:p w:rsidRPr="00704C3D" w:rsidR="0040388A" w:rsidP="002C49D0" w:rsidRDefault="00D22B85" w14:paraId="48418475" w14:textId="419FAE48">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EF55A0">
                  <w:rPr>
                    <w:rFonts w:hint="eastAsia" w:ascii="MS Gothic" w:hAnsi="MS Gothic" w:eastAsia="MS Gothic"/>
                    <w:bCs/>
                    <w:szCs w:val="24"/>
                    <w:lang w:val="fr-BE" w:eastAsia="en-GB"/>
                  </w:rPr>
                  <w:t>☐</w:t>
                </w:r>
              </w:sdtContent>
            </w:sdt>
            <w:r w:rsidRPr="00704C3D" w:rsidR="0040388A">
              <w:rPr>
                <w:bCs/>
                <w:szCs w:val="24"/>
                <w:lang w:val="fr-BE" w:eastAsia="en-GB"/>
              </w:rPr>
              <w:t xml:space="preserve"> Les pays de l'AELE suivants :</w:t>
            </w:r>
          </w:p>
          <w:p w:rsidRPr="00704C3D" w:rsidR="0040388A" w:rsidP="002C49D0" w:rsidRDefault="0040388A" w14:paraId="14835B5E" w14:textId="1EEBECEA">
            <w:pPr>
              <w:tabs>
                <w:tab w:val="left" w:pos="426"/>
              </w:tabs>
              <w:ind w:left="1134"/>
              <w:contextualSpacing/>
              <w:rPr>
                <w:bCs/>
                <w:szCs w:val="24"/>
                <w:lang w:val="fr-BE" w:eastAsia="en-GB"/>
              </w:rPr>
            </w:pPr>
            <w:r w:rsidRPr="00704C3D">
              <w:rPr>
                <w:bCs/>
                <w:szCs w:val="24"/>
                <w:lang w:val="fr-BE" w:eastAsia="en-GB"/>
              </w:rPr>
              <w:tab/>
            </w:r>
            <w:sdt>
              <w:sdtPr>
                <w:rPr>
                  <w:bCs/>
                  <w:szCs w:val="24"/>
                  <w:lang w:val="fr-BE" w:eastAsia="en-GB"/>
                </w:rPr>
                <w:id w:val="1342279711"/>
                <w14:checkbox>
                  <w14:checked w14:val="0"/>
                  <w14:checkedState w14:val="2612" w14:font="MS Gothic"/>
                  <w14:uncheckedState w14:val="2610" w14:font="MS Gothic"/>
                </w14:checkbox>
              </w:sdtPr>
              <w:sdtEndPr/>
              <w:sdtContent>
                <w:r w:rsidRPr="00704C3D">
                  <w:rPr>
                    <w:rFonts w:hint="eastAsia" w:ascii="MS Gothic" w:hAnsi="MS Gothic" w:eastAsia="MS Gothic"/>
                    <w:bCs/>
                    <w:szCs w:val="24"/>
                    <w:lang w:val="fr-BE" w:eastAsia="en-GB"/>
                  </w:rPr>
                  <w:t xml:space="preserve">   ☐ </w:t>
                </w:r>
              </w:sdtContent>
            </w:sdt>
            <w:r w:rsidRPr="00704C3D">
              <w:rPr>
                <w:bCs/>
                <w:szCs w:val="24"/>
                <w:lang w:val="fr-BE" w:eastAsia="en-GB"/>
              </w:rPr>
              <w:t xml:space="preserve"> Islande </w:t>
            </w:r>
            <w:r w:rsidRPr="00704C3D" w:rsidR="00704C3D">
              <w:rPr>
                <w:rFonts w:hint="eastAsia" w:ascii="MS Gothic" w:hAnsi="MS Gothic" w:eastAsia="MS Gothic"/>
                <w:bCs/>
                <w:szCs w:val="24"/>
                <w:lang w:val="fr-BE" w:eastAsia="en-GB"/>
              </w:rPr>
              <w:t>☐</w:t>
            </w:r>
            <w:r w:rsidRPr="00704C3D">
              <w:rPr>
                <w:bCs/>
                <w:szCs w:val="24"/>
                <w:lang w:val="fr-BE" w:eastAsia="en-GB"/>
              </w:rPr>
              <w:t xml:space="preserve">Liechtenstein </w:t>
            </w:r>
            <w:r w:rsidRPr="00704C3D" w:rsidR="00DE329F">
              <w:rPr>
                <w:rFonts w:hint="eastAsia" w:ascii="MS Gothic" w:hAnsi="MS Gothic" w:eastAsia="MS Gothic"/>
                <w:bCs/>
                <w:szCs w:val="24"/>
                <w:lang w:val="fr-BE" w:eastAsia="en-GB"/>
              </w:rPr>
              <w:t>☐</w:t>
            </w:r>
            <w:r w:rsidRPr="00704C3D">
              <w:rPr>
                <w:bCs/>
                <w:szCs w:val="24"/>
                <w:lang w:val="fr-BE" w:eastAsia="en-GB"/>
              </w:rPr>
              <w:t xml:space="preserve">Norvège </w:t>
            </w:r>
            <w:r w:rsidRPr="00704C3D" w:rsidR="00704C3D">
              <w:rPr>
                <w:rFonts w:hint="eastAsia" w:ascii="MS Gothic" w:hAnsi="MS Gothic" w:eastAsia="MS Gothic"/>
                <w:bCs/>
                <w:szCs w:val="24"/>
                <w:lang w:val="fr-BE" w:eastAsia="en-GB"/>
              </w:rPr>
              <w:t>☐</w:t>
            </w:r>
            <w:r w:rsidRPr="00704C3D">
              <w:rPr>
                <w:bCs/>
                <w:szCs w:val="24"/>
                <w:lang w:val="fr-BE" w:eastAsia="en-GB"/>
              </w:rPr>
              <w:t>Suisse</w:t>
            </w:r>
            <w:r w:rsidR="00DE329F">
              <w:rPr>
                <w:bCs/>
                <w:szCs w:val="24"/>
                <w:lang w:val="fr-BE" w:eastAsia="en-GB"/>
              </w:rPr>
              <w:t xml:space="preserve"> </w:t>
            </w:r>
          </w:p>
          <w:p w:rsidRPr="00704C3D" w:rsidR="0040388A" w:rsidP="002C49D0" w:rsidRDefault="00D22B85" w14:paraId="0E54D6FB" w14:textId="4EF3712C">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Pr="00704C3D" w:rsidR="0040388A">
                  <w:rPr>
                    <w:rFonts w:hint="eastAsia" w:ascii="MS Gothic" w:hAnsi="MS Gothic" w:eastAsia="MS Gothic"/>
                    <w:bCs/>
                    <w:szCs w:val="24"/>
                    <w:lang w:val="fr-BE" w:eastAsia="en-GB"/>
                  </w:rPr>
                  <w:t xml:space="preserve">   ☐ </w:t>
                </w:r>
              </w:sdtContent>
            </w:sdt>
            <w:r w:rsidRPr="00704C3D" w:rsidR="0040388A">
              <w:rPr>
                <w:bCs/>
                <w:szCs w:val="24"/>
                <w:lang w:val="fr-BE" w:eastAsia="en-GB"/>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Pr="0007110E" w:rsidR="00431778">
                  <w:rPr>
                    <w:rStyle w:val="PlaceholderText"/>
                    <w:bCs/>
                  </w:rPr>
                  <w:t xml:space="preserve">    </w:t>
                </w:r>
              </w:sdtContent>
            </w:sdt>
          </w:p>
          <w:p w:rsidR="0040388A" w:rsidP="002C49D0" w:rsidRDefault="00D22B85"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 xml:space="preserve">   ☐ </w:t>
                </w:r>
              </w:sdtContent>
            </w:sdt>
            <w:r w:rsidR="0040388A">
              <w:rPr>
                <w:bCs/>
                <w:szCs w:val="24"/>
                <w:lang w:eastAsia="en-GB"/>
              </w:rPr>
              <w:t xml:space="preserve"> Les organisations intergouvernementales suivantes :</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7E0E7EFC">
            <w:pPr>
              <w:tabs>
                <w:tab w:val="left" w:pos="426"/>
              </w:tabs>
              <w:rPr>
                <w:bCs/>
                <w:lang w:val="en-IE" w:eastAsia="en-GB"/>
              </w:rPr>
            </w:pPr>
            <w:r>
              <w:rPr>
                <w:bCs/>
                <w:lang w:eastAsia="en-GB"/>
              </w:rPr>
              <w:object w:dxaOrig="1440" w:dyaOrig="1440" w14:anchorId="624C0115">
                <v:shape id="_x0000_i1043" style="width:320.25pt;height:21.75pt" o:ole="" type="#_x0000_t75">
                  <v:imagedata o:title="" r:id="rId21"/>
                </v:shape>
                <w:control w:name="OptionButton5" w:shapeid="_x0000_i1043" r:id="rId22"/>
              </w:object>
            </w:r>
            <w:r w:rsidRPr="0007110E" w:rsidR="00E21DBD">
              <w:rPr>
                <w:bCs/>
                <w:szCs w:val="24"/>
                <w:lang w:eastAsia="en-GB"/>
              </w:rPr>
              <w:t xml:space="preserve"> </w:t>
            </w:r>
          </w:p>
        </w:tc>
      </w:tr>
      <w:tr w:rsidRPr="005647D1" w:rsidR="00DF1E49" w:rsidTr="0B0701E2" w14:paraId="4E10CC7A" w14:textId="77777777">
        <w:tc>
          <w:tcPr>
            <w:tcW w:w="3111" w:type="dxa"/>
            <w:tcMar/>
          </w:tcPr>
          <w:p w:rsidRPr="00704C3D" w:rsidR="00DF1E49" w:rsidP="002C49D0" w:rsidRDefault="00DF1E49" w14:paraId="4B77822C" w14:textId="5EFC4255">
            <w:pPr>
              <w:tabs>
                <w:tab w:val="left" w:pos="426"/>
              </w:tabs>
              <w:spacing w:before="180"/>
              <w:rPr>
                <w:bCs/>
                <w:lang w:val="fr-BE" w:eastAsia="en-GB"/>
              </w:rPr>
            </w:pPr>
            <w:r w:rsidRPr="00704C3D">
              <w:rPr>
                <w:bCs/>
                <w:lang w:val="fr-BE" w:eastAsia="en-GB"/>
              </w:rPr>
              <w:t>Date limite de dépôt des candidatures</w:t>
            </w:r>
          </w:p>
        </w:tc>
        <w:tc>
          <w:tcPr>
            <w:tcW w:w="5491" w:type="dxa"/>
            <w:tcMar/>
          </w:tcPr>
          <w:p w:rsidR="00DF1E49" w:rsidP="00E82667" w:rsidRDefault="00E82667" w14:paraId="240262F4" w14:textId="3F12C2E1">
            <w:pPr>
              <w:tabs>
                <w:tab w:val="left" w:pos="426"/>
              </w:tabs>
              <w:spacing w:before="120" w:after="120"/>
              <w:rPr>
                <w:bCs/>
                <w:szCs w:val="24"/>
                <w:lang w:eastAsia="en-GB"/>
              </w:rPr>
            </w:pPr>
            <w:r>
              <w:rPr>
                <w:bCs/>
                <w:lang w:eastAsia="en-GB"/>
              </w:rPr>
              <w:object w:dxaOrig="1440" w:dyaOrig="1440" w14:anchorId="51A1B371">
                <v:shape id="_x0000_i1045" style="width:108pt;height:21.75pt" o:ole="" type="#_x0000_t75">
                  <v:imagedata o:title="" r:id="rId23"/>
                </v:shape>
                <w:control w:name="OptionButton2" w:shapeid="_x0000_i1045" r:id="rId24"/>
              </w:object>
            </w:r>
            <w:r>
              <w:rPr>
                <w:bCs/>
                <w:lang w:eastAsia="en-GB"/>
              </w:rPr>
              <w:object w:dxaOrig="1440" w:dyaOrig="1440" w14:anchorId="0992615F">
                <v:shape id="_x0000_i1047" style="width:108pt;height:21.75pt" o:ole="" type="#_x0000_t75">
                  <v:imagedata o:title="" r:id="rId25"/>
                </v:shape>
                <w:control w:name="OptionButton3" w:shapeid="_x0000_i1047" r:id="rId26"/>
              </w:object>
            </w:r>
          </w:p>
          <w:p w:rsidRPr="00704C3D" w:rsidR="002C13C3" w:rsidP="00E82667" w:rsidRDefault="002C13C3" w14:paraId="42C9AD79" w14:textId="7B75AFE9">
            <w:pPr>
              <w:tabs>
                <w:tab w:val="left" w:pos="426"/>
              </w:tabs>
              <w:spacing w:before="120" w:after="120"/>
              <w:rPr>
                <w:bCs/>
                <w:lang w:val="fr-BE" w:eastAsia="en-GB"/>
              </w:rPr>
            </w:pPr>
            <w:r w:rsidRPr="00704C3D">
              <w:rPr>
                <w:bCs/>
                <w:szCs w:val="24"/>
                <w:lang w:val="fr-BE" w:eastAsia="en-GB"/>
              </w:rPr>
              <w:t xml:space="preserve">Date limite d'application :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D22B85">
                  <w:rPr>
                    <w:bCs/>
                    <w:lang w:val="fr-BE" w:eastAsia="en-GB"/>
                  </w:rPr>
                  <w:t>25-11-2025</w:t>
                </w:r>
              </w:sdtContent>
            </w:sdt>
          </w:p>
        </w:tc>
      </w:tr>
      <w:bookmarkEnd w:id="0"/>
      <w:bookmarkEnd w:id="1"/>
    </w:tbl>
    <w:p w:rsidRPr="00704C3D" w:rsidR="00E21DBD" w:rsidP="00E21DBD" w:rsidRDefault="00E21DBD" w14:paraId="4AD59AD4" w14:textId="77777777">
      <w:pPr>
        <w:tabs>
          <w:tab w:val="left" w:pos="426"/>
        </w:tabs>
        <w:spacing w:after="0"/>
        <w:rPr>
          <w:b/>
          <w:lang w:val="fr-BE" w:eastAsia="en-GB"/>
        </w:rPr>
      </w:pPr>
    </w:p>
    <w:p w:rsidRPr="00704C3D" w:rsidR="00E21DBD" w:rsidP="00E21DBD" w:rsidRDefault="00E21DBD" w14:paraId="7FA18C95" w14:textId="77777777">
      <w:pPr>
        <w:tabs>
          <w:tab w:val="left" w:pos="426"/>
        </w:tabs>
        <w:spacing w:after="0"/>
        <w:rPr>
          <w:b/>
          <w:lang w:val="fr-BE" w:eastAsia="en-GB"/>
        </w:rPr>
      </w:pPr>
    </w:p>
    <w:p w:rsidRPr="00704C3D" w:rsidR="00E21DBD" w:rsidP="00994062" w:rsidRDefault="003E50A4" w14:paraId="739B1A99" w14:textId="26B4FBDA">
      <w:pPr>
        <w:pStyle w:val="ListNumber"/>
        <w:numPr>
          <w:ilvl w:val="0"/>
          <w:numId w:val="0"/>
        </w:numPr>
        <w:ind w:left="709" w:hanging="709"/>
        <w:rPr>
          <w:lang w:val="fr-BE" w:eastAsia="en-GB"/>
        </w:rPr>
      </w:pPr>
      <w:bookmarkStart w:name="_Hlk132129090" w:id="2"/>
      <w:r w:rsidRPr="00704C3D">
        <w:rPr>
          <w:b/>
          <w:bCs/>
          <w:lang w:val="fr-BE" w:eastAsia="en-GB"/>
        </w:rPr>
        <w:t>Présentation de l'entité (Nous sommes)</w:t>
      </w:r>
    </w:p>
    <w:sdt>
      <w:sdtPr>
        <w:rPr>
          <w:lang w:val="en-US" w:eastAsia="en-GB"/>
        </w:rPr>
        <w:id w:val="1822233941"/>
        <w:placeholder>
          <w:docPart w:val="A1D7C4E93E5D41968C9784C962AACA55"/>
        </w:placeholder>
      </w:sdtPr>
      <w:sdtEndPr>
        <w:rPr>
          <w:b w:val="1"/>
          <w:bCs w:val="1"/>
          <w:lang w:val="en-GB" w:eastAsia="en-GB"/>
        </w:rPr>
      </w:sdtEndPr>
      <w:sdtContent>
        <w:sdt>
          <w:sdtPr>
            <w:id w:val="-1982071410"/>
            <w:placeholder>
              <w:docPart w:val="989B17E4D37041E7A5C7C5D85AB047A6"/>
            </w:placeholder>
            <w:rPr>
              <w:rFonts w:cs="Calibri" w:cstheme="minorAscii"/>
              <w:lang w:val="en-US" w:eastAsia="en-GB"/>
            </w:rPr>
          </w:sdtPr>
          <w:sdtEndPr>
            <w:rPr>
              <w:rFonts w:cs="Calibri" w:cstheme="minorAscii"/>
              <w:lang w:val="en-US" w:eastAsia="en-GB"/>
            </w:rPr>
          </w:sdtEndPr>
          <w:sdtContent>
            <w:sdt>
              <w:sdtPr>
                <w:id w:val="-1601552076"/>
                <w:placeholder>
                  <w:docPart w:val="DefaultPlaceholder_1081868574"/>
                </w:placeholder>
                <w:rPr>
                  <w:rFonts w:cs="Calibri" w:cstheme="minorAscii"/>
                  <w:lang w:eastAsia="en-GB"/>
                </w:rPr>
              </w:sdtPr>
              <w:sdtEndPr>
                <w:rPr>
                  <w:rFonts w:cs="Calibri" w:cstheme="minorAscii"/>
                  <w:lang w:eastAsia="en-GB"/>
                </w:rPr>
              </w:sdtEndPr>
              <w:sdtContent>
                <w:sdt>
                  <w:sdtPr>
                    <w:id w:val="864182606"/>
                    <w:placeholder>
                      <w:docPart w:val="DefaultPlaceholder_1081868574"/>
                    </w:placeholder>
                    <w:rPr>
                      <w:rFonts w:ascii="Calibri" w:hAnsi="Calibri" w:cs="Calibri" w:asciiTheme="minorAscii" w:hAnsiTheme="minorAscii" w:cstheme="minorAscii"/>
                      <w:sz w:val="22"/>
                      <w:szCs w:val="22"/>
                      <w:lang w:eastAsia="en-GB"/>
                    </w:rPr>
                  </w:sdtPr>
                  <w:sdtEndPr>
                    <w:rPr>
                      <w:rFonts w:ascii="Calibri" w:hAnsi="Calibri" w:cs="Calibri" w:asciiTheme="minorAscii" w:hAnsiTheme="minorAscii" w:cstheme="minorAscii"/>
                      <w:sz w:val="22"/>
                      <w:szCs w:val="22"/>
                      <w:lang w:eastAsia="en-GB"/>
                    </w:rPr>
                  </w:sdtEndPr>
                  <w:sdtContent>
                    <w:p w:rsidRPr="00D22B85" w:rsidR="00466BA3" w:rsidP="00466BA3" w:rsidRDefault="00466BA3" w14:paraId="1FFE7172" w14:textId="77777777">
                      <w:pPr>
                        <w:spacing w:after="0"/>
                        <w:rPr>
                          <w:rFonts w:asciiTheme="minorHAnsi" w:hAnsiTheme="minorHAnsi" w:cstheme="minorHAnsi"/>
                          <w:sz w:val="22"/>
                          <w:szCs w:val="22"/>
                          <w:lang w:val="fr-BE" w:eastAsia="en-GB"/>
                        </w:rPr>
                      </w:pPr>
                      <w:r w:rsidRPr="00D22B85">
                        <w:rPr>
                          <w:rFonts w:asciiTheme="minorHAnsi" w:hAnsiTheme="minorHAnsi" w:cstheme="minorHAnsi"/>
                          <w:sz w:val="22"/>
                          <w:szCs w:val="22"/>
                          <w:lang w:val="fr-BE" w:eastAsia="en-GB"/>
                        </w:rPr>
                        <w:t>La direction générale de l'industrie de la défense et de l'espace (DG DEFIS) est le service de la Commission européenne chargé de renforcer la compétitivité et l'innovation de l'industrie européenne de la défense en assurant l'évolution d'une base technologique et industrielle européenne de défense performante.</w:t>
                      </w:r>
                    </w:p>
                    <w:p w:rsidRPr="00D22B85" w:rsidR="00466BA3" w:rsidP="00466BA3" w:rsidRDefault="00466BA3" w14:paraId="7F52DA4F" w14:textId="77777777">
                      <w:pPr>
                        <w:spacing w:after="0"/>
                        <w:rPr>
                          <w:rFonts w:asciiTheme="minorHAnsi" w:hAnsiTheme="minorHAnsi" w:cstheme="minorHAnsi"/>
                          <w:sz w:val="22"/>
                          <w:szCs w:val="22"/>
                          <w:lang w:val="pt-PT" w:eastAsia="en-GB"/>
                        </w:rPr>
                      </w:pPr>
                      <w:r w:rsidRPr="00D22B85">
                        <w:rPr>
                          <w:rFonts w:asciiTheme="minorHAnsi" w:hAnsiTheme="minorHAnsi" w:cstheme="minorHAnsi"/>
                          <w:sz w:val="22"/>
                          <w:szCs w:val="22"/>
                          <w:lang w:val="pt-PT" w:eastAsia="en-GB"/>
                        </w:rPr>
                        <w:t xml:space="preserve">La mission de la direction A « Politique de défense » (composée de trois unités) est la suivante : </w:t>
                      </w:r>
                    </w:p>
                    <w:p w:rsidRPr="00D22B85" w:rsidR="00466BA3" w:rsidP="00466BA3" w:rsidRDefault="00466BA3" w14:paraId="288DF5DF" w14:textId="77777777">
                      <w:pPr>
                        <w:spacing w:after="0"/>
                        <w:rPr>
                          <w:rFonts w:asciiTheme="minorHAnsi" w:hAnsiTheme="minorHAnsi" w:cstheme="minorHAnsi"/>
                          <w:sz w:val="22"/>
                          <w:szCs w:val="22"/>
                          <w:lang w:val="pt-PT" w:eastAsia="en-GB"/>
                        </w:rPr>
                      </w:pPr>
                      <w:r w:rsidRPr="00D22B85">
                        <w:rPr>
                          <w:rFonts w:asciiTheme="minorHAnsi" w:hAnsiTheme="minorHAnsi" w:cstheme="minorHAnsi"/>
                          <w:sz w:val="22"/>
                          <w:szCs w:val="22"/>
                          <w:lang w:val="pt-PT" w:eastAsia="en-GB"/>
                        </w:rPr>
                        <w:lastRenderedPageBreak/>
                        <w:t>- Stimuler et coordonner l'élaboration et la mise en œuvre d'un programme complet de politique de défense de l'UE dans les domaines de l'innovation, du soutien à l'Ukraine, de la mobilité militaire, des menaces hybrides et de l'intégration du marché unique.</w:t>
                      </w:r>
                    </w:p>
                    <w:p w:rsidRPr="00D22B85" w:rsidR="00466BA3" w:rsidP="00466BA3" w:rsidRDefault="00466BA3" w14:paraId="691E3883" w14:textId="77777777">
                      <w:pPr>
                        <w:spacing w:after="0"/>
                        <w:rPr>
                          <w:rFonts w:asciiTheme="minorHAnsi" w:hAnsiTheme="minorHAnsi" w:cstheme="minorHAnsi"/>
                          <w:sz w:val="22"/>
                          <w:szCs w:val="22"/>
                          <w:lang w:val="pt-PT" w:eastAsia="en-GB"/>
                        </w:rPr>
                      </w:pPr>
                      <w:r w:rsidRPr="00D22B85">
                        <w:rPr>
                          <w:rFonts w:asciiTheme="minorHAnsi" w:hAnsiTheme="minorHAnsi" w:cstheme="minorHAnsi"/>
                          <w:sz w:val="22"/>
                          <w:szCs w:val="22"/>
                          <w:lang w:val="pt-PT" w:eastAsia="en-GB"/>
                        </w:rPr>
                        <w:t>- Faire avancer le programme de politique de défense en promouvant la compétitivité durable de la base industrielle et technologique de défense de l'UE, notamment en améliorant la coordination du développement des capacités, en renforçant la réponse aux crises et en soutenant la coopération transfrontalière en matière de défense dans son ensemble.</w:t>
                      </w:r>
                    </w:p>
                    <w:p w:rsidRPr="00D22B85" w:rsidR="00466BA3" w:rsidP="00466BA3" w:rsidRDefault="00466BA3" w14:paraId="476AE4E3" w14:textId="77777777">
                      <w:pPr>
                        <w:spacing w:after="0"/>
                        <w:rPr>
                          <w:rFonts w:asciiTheme="minorHAnsi" w:hAnsiTheme="minorHAnsi" w:cstheme="minorHAnsi"/>
                          <w:sz w:val="22"/>
                          <w:szCs w:val="22"/>
                          <w:lang w:val="pt-PT" w:eastAsia="en-GB"/>
                        </w:rPr>
                      </w:pPr>
                      <w:r w:rsidRPr="00D22B85">
                        <w:rPr>
                          <w:rFonts w:asciiTheme="minorHAnsi" w:hAnsiTheme="minorHAnsi" w:cstheme="minorHAnsi"/>
                          <w:sz w:val="22"/>
                          <w:szCs w:val="22"/>
                          <w:lang w:val="pt-PT" w:eastAsia="en-GB"/>
                        </w:rPr>
                        <w:t>- Créer les conditions propices à l'intégration du marché et à l'innovation tout en assurant la cohérence du programme politique en matière de programmes industriels de défense.</w:t>
                      </w:r>
                    </w:p>
                    <w:p w:rsidRPr="00D22B85" w:rsidR="00466BA3" w:rsidP="00466BA3" w:rsidRDefault="00466BA3" w14:paraId="6ADBB67F" w14:textId="77777777">
                      <w:pPr>
                        <w:spacing w:after="0"/>
                        <w:rPr>
                          <w:rFonts w:asciiTheme="minorHAnsi" w:hAnsiTheme="minorHAnsi" w:cstheme="minorHAnsi"/>
                          <w:sz w:val="22"/>
                          <w:szCs w:val="22"/>
                          <w:lang w:val="pt-PT" w:eastAsia="en-GB"/>
                        </w:rPr>
                      </w:pPr>
                    </w:p>
                    <w:p w:rsidRPr="00D22B85" w:rsidR="00466BA3" w:rsidP="00466BA3" w:rsidRDefault="00466BA3" w14:paraId="09F524C5" w14:textId="77777777">
                      <w:pPr>
                        <w:spacing w:after="0"/>
                        <w:rPr>
                          <w:rFonts w:asciiTheme="minorHAnsi" w:hAnsiTheme="minorHAnsi" w:cstheme="minorHAnsi"/>
                          <w:sz w:val="22"/>
                          <w:szCs w:val="22"/>
                          <w:lang w:val="pt-PT" w:eastAsia="en-GB"/>
                        </w:rPr>
                      </w:pPr>
                      <w:r w:rsidRPr="00D22B85">
                        <w:rPr>
                          <w:rFonts w:asciiTheme="minorHAnsi" w:hAnsiTheme="minorHAnsi" w:cstheme="minorHAnsi"/>
                          <w:sz w:val="22"/>
                          <w:szCs w:val="22"/>
                          <w:lang w:val="pt-PT" w:eastAsia="en-GB"/>
                        </w:rPr>
                        <w:t>La mission de DEFIS A1 est de promouvoir la compétitivité durable de l'industrie de défense de l'UE et son adaptation au nouvel environnement de sécurité, ainsi que de stimuler le marché intérieur de la défense, contribuant ainsi à renforcer l'Europe dans le domaine de la sécurité et de la défense. L'unité A1 gère un ensemble d'outils relevant de la politique industrielle et du marché unique et est également chargée d'assurer les relations avec l'Agence européenne de défense (AED), le SEAE et l'OTAN, ainsi que la cohérence avec d'autres initiatives de l'UE dans le domaine de la défense.</w:t>
                      </w:r>
                    </w:p>
                    <w:p w:rsidRPr="00E06776" w:rsidR="002B3CBF" w:rsidP="00466BA3" w:rsidRDefault="00D22B85" w14:paraId="69459484" w14:textId="58A2F545">
                      <w:pPr>
                        <w:spacing w:after="0"/>
                        <w:rPr>
                          <w:rFonts w:asciiTheme="minorHAnsi" w:hAnsiTheme="minorHAnsi" w:cstheme="minorHAnsi"/>
                          <w:sz w:val="22"/>
                          <w:szCs w:val="22"/>
                          <w:lang w:eastAsia="en-GB"/>
                        </w:rPr>
                      </w:pPr>
                    </w:p>
                  </w:sdtContent>
                </w:sdt>
              </w:sdtContent>
            </w:sdt>
          </w:sdtContent>
        </w:sdt>
      </w:sdtContent>
    </w:sdt>
    <w:p w:rsidR="00046B67" w:rsidP="00994062" w:rsidRDefault="00046B67" w14:paraId="3C8B0488" w14:textId="77777777">
      <w:pPr>
        <w:pStyle w:val="ListNumber"/>
        <w:numPr>
          <w:ilvl w:val="0"/>
          <w:numId w:val="0"/>
        </w:numPr>
        <w:ind w:left="709" w:hanging="709"/>
        <w:rPr>
          <w:b/>
          <w:bCs/>
          <w:lang w:val="fr-BE" w:eastAsia="en-GB"/>
        </w:rPr>
      </w:pPr>
    </w:p>
    <w:p w:rsidRPr="00704C3D" w:rsidR="00E21DBD" w:rsidP="00994062" w:rsidRDefault="00E21DBD" w14:paraId="50617C66" w14:textId="7071104B">
      <w:pPr>
        <w:pStyle w:val="ListNumber"/>
        <w:numPr>
          <w:ilvl w:val="0"/>
          <w:numId w:val="0"/>
        </w:numPr>
        <w:ind w:left="709" w:hanging="709"/>
        <w:rPr>
          <w:lang w:val="fr-BE" w:eastAsia="en-GB"/>
        </w:rPr>
      </w:pPr>
      <w:r w:rsidRPr="00704C3D">
        <w:rPr>
          <w:b/>
          <w:bCs/>
          <w:lang w:val="fr-BE" w:eastAsia="en-GB"/>
        </w:rPr>
        <w:t>Présentation du poste (Nous proposons)</w:t>
      </w:r>
    </w:p>
    <w:sdt>
      <w:sdtPr>
        <w:id w:val="-723136291"/>
        <w:placeholder>
          <w:docPart w:val="84FB87486BC94E5EB76E972E1BD8265B"/>
        </w:placeholder>
        <w:rPr>
          <w:rFonts w:ascii="Calibri" w:hAnsi="Calibri" w:eastAsia="Calibri" w:cs="" w:asciiTheme="minorAscii" w:hAnsiTheme="minorAscii" w:eastAsiaTheme="minorAscii" w:cstheme="minorBidi"/>
          <w:sz w:val="22"/>
          <w:szCs w:val="22"/>
          <w:lang w:val="en-US" w:eastAsia="en-GB"/>
        </w:rPr>
      </w:sdtPr>
      <w:sdtEndPr>
        <w:rPr>
          <w:rFonts w:ascii="Times New Roman" w:hAnsi="Times New Roman" w:eastAsia="Times New Roman" w:cs="Times New Roman" w:asciiTheme="minorAscii" w:hAnsiTheme="minorAscii" w:eastAsiaTheme="minorAscii" w:cstheme="minorBidi"/>
          <w:sz w:val="24"/>
          <w:szCs w:val="24"/>
          <w:lang w:val="en-GB" w:eastAsia="en-IE"/>
        </w:rPr>
      </w:sdtEndPr>
      <w:sdtContent>
        <w:p w:rsidRPr="00D22B85" w:rsidR="00466BA3" w:rsidP="00466BA3" w:rsidRDefault="00466BA3" w14:paraId="782A1B58" w14:textId="77777777">
          <w:pPr>
            <w:rPr>
              <w:rFonts w:asciiTheme="minorHAnsi" w:hAnsiTheme="minorHAnsi" w:cstheme="minorHAnsi"/>
              <w:b/>
              <w:bCs/>
              <w:sz w:val="22"/>
              <w:szCs w:val="22"/>
              <w:lang w:val="pt-PT" w:eastAsia="en-GB"/>
            </w:rPr>
          </w:pPr>
          <w:r w:rsidRPr="00D22B85">
            <w:rPr>
              <w:rFonts w:asciiTheme="minorHAnsi" w:hAnsiTheme="minorHAnsi" w:cstheme="minorHAnsi"/>
              <w:b/>
              <w:bCs/>
              <w:sz w:val="22"/>
              <w:szCs w:val="22"/>
              <w:lang w:val="pt-PT" w:eastAsia="en-GB"/>
            </w:rPr>
            <w:t>Responsable des politiques</w:t>
          </w:r>
        </w:p>
        <w:p w:rsidRPr="00D22B85" w:rsidR="00466BA3" w:rsidP="00466BA3" w:rsidRDefault="00466BA3" w14:paraId="0267EC25" w14:textId="77777777">
          <w:pPr>
            <w:rPr>
              <w:rFonts w:asciiTheme="minorHAnsi" w:hAnsiTheme="minorHAnsi" w:cstheme="minorHAnsi"/>
              <w:b/>
              <w:bCs/>
              <w:sz w:val="22"/>
              <w:szCs w:val="22"/>
              <w:lang w:val="pt-PT" w:eastAsia="en-GB"/>
            </w:rPr>
          </w:pPr>
          <w:r w:rsidRPr="00D22B85">
            <w:rPr>
              <w:rFonts w:asciiTheme="minorHAnsi" w:hAnsiTheme="minorHAnsi" w:cstheme="minorHAnsi"/>
              <w:sz w:val="22"/>
              <w:szCs w:val="22"/>
              <w:lang w:val="pt-PT"/>
            </w:rPr>
            <w:t>Sa mission consistera à contribuer à la conception, à la négociation et à la mise en œuvre des politiques de l'UE qui soutiennent la compétitivité, la capacité d'innovation et la résilience de l'industrie européenne de la défense. Il/elle travaillera sur les grandes initiatives politiques de l'UE ayant un impact sur le secteur de la défense. Il/elle sera chargé(e) de suivre les principales tendances qui affectent le secteur de la défense tant au sein de l'UE qu'à l'échelle internationale. Il/elle participera à la définition des réseaux de valeur de l'UE dans le domaine de la défense et de l'écosystème plus large, y compris ses points critiques (au niveau des technologies, des dépendances et des acteurs). Il/elle fera partie d'une équipe composée d'économistes, de spécialistes en sciences politiques et de juristes et devra coordonner des aspects importants du travail dans ce domaine.</w:t>
          </w:r>
        </w:p>
        <w:p w:rsidRPr="00E06776" w:rsidR="00355591" w:rsidP="00E06776" w:rsidRDefault="00D22B85" w14:paraId="44F2076C" w14:textId="77777777">
          <w:pPr>
            <w:spacing w:after="0"/>
            <w:ind w:right="-14"/>
            <w:rPr>
              <w:rFonts w:ascii="Arial" w:hAnsi="Arial" w:cs="Arial"/>
              <w:color w:val="000000"/>
              <w:sz w:val="20"/>
              <w:shd w:val="clear" w:color="auto" w:fill="FFFFFF"/>
              <w:lang w:val="en-IE"/>
            </w:rPr>
          </w:pPr>
        </w:p>
      </w:sdtContent>
    </w:sdt>
    <w:p w:rsidRPr="00704C3D" w:rsidR="00E21DBD" w:rsidP="00994062" w:rsidRDefault="00E21DBD" w14:paraId="58E0FD96" w14:textId="2D5F7C92">
      <w:pPr>
        <w:pStyle w:val="ListNumber"/>
        <w:numPr>
          <w:ilvl w:val="0"/>
          <w:numId w:val="0"/>
        </w:numPr>
        <w:ind w:left="709" w:hanging="709"/>
        <w:rPr>
          <w:lang w:val="fr-BE" w:eastAsia="en-GB"/>
        </w:rPr>
      </w:pPr>
      <w:r w:rsidRPr="00704C3D">
        <w:rPr>
          <w:b/>
          <w:bCs/>
          <w:lang w:val="fr-BE" w:eastAsia="en-GB"/>
        </w:rPr>
        <w:t>Profil du titulaire du poste (Nous recherchons)</w:t>
      </w:r>
    </w:p>
    <w:sdt>
      <w:sdtPr>
        <w:rPr>
          <w:lang w:val="en-US" w:eastAsia="en-GB"/>
        </w:rPr>
        <w:id w:val="-209197804"/>
        <w:placeholder>
          <w:docPart w:val="D53C757808094631B3D30FCCF370CC97"/>
        </w:placeholder>
      </w:sdtPr>
      <w:sdtEndPr>
        <w:rPr>
          <w:lang w:val="en-US" w:eastAsia="en-GB"/>
        </w:rPr>
      </w:sdtEndPr>
      <w:sdtContent>
        <w:sdt>
          <w:sdtPr>
            <w:rPr>
              <w:lang w:eastAsia="en-GB"/>
            </w:rPr>
            <w:id w:val="841516836"/>
            <w:placeholder>
              <w:docPart w:val="DefaultPlaceholder_1081868574"/>
            </w:placeholder>
          </w:sdtPr>
          <w:sdtEndPr>
            <w:rPr>
              <w:lang w:eastAsia="en-GB"/>
            </w:rPr>
          </w:sdtEndPr>
          <w:sdtContent>
            <w:sdt>
              <w:sdtPr>
                <w:id w:val="-354431951"/>
                <w:placeholder>
                  <w:docPart w:val="DefaultPlaceholder_1081868574"/>
                </w:placeholder>
                <w:rPr>
                  <w:rFonts w:ascii="Calibri" w:hAnsi="Calibri" w:cs="Calibri" w:asciiTheme="minorAscii" w:hAnsiTheme="minorAscii" w:cstheme="minorAscii"/>
                  <w:sz w:val="22"/>
                  <w:szCs w:val="22"/>
                  <w:highlight w:val="yellow"/>
                  <w:lang w:eastAsia="en-GB"/>
                </w:rPr>
              </w:sdtPr>
              <w:sdtEndPr>
                <w:rPr>
                  <w:rFonts w:ascii="Calibri" w:hAnsi="Calibri" w:cs="Calibri" w:asciiTheme="minorAscii" w:hAnsiTheme="minorAscii" w:cstheme="minorAscii"/>
                  <w:sz w:val="22"/>
                  <w:szCs w:val="22"/>
                  <w:lang w:eastAsia="en-GB"/>
                </w:rPr>
              </w:sdtEndPr>
              <w:sdtContent>
                <w:p w:rsidRPr="00D22B85" w:rsidR="00C130B6" w:rsidP="00C130B6" w:rsidRDefault="00C130B6" w14:paraId="7153AEDD"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Un(e) collègue dynamique, motivé(e) et enthousiaste, ayant une expérience dans le secteur de la défense.</w:t>
                  </w:r>
                </w:p>
                <w:p w:rsidRPr="00D22B85" w:rsidR="00C130B6" w:rsidP="00C130B6" w:rsidRDefault="00C130B6" w14:paraId="32684641"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xml:space="preserve">Le/la candidat(e) retenu(e) devra posséder de solides compétences analytiques et juridiques, ainsi qu'une expérience en matière d'élaboration de politiques. Il/elle devra être capable de travailler de manière proactive, posséder de très bonnes compétences en communication et être capable d'établir et de maintenir des relations de travail constructives avec les autres services de la Commission, le Conseil, le Parlement européen, le SEAE, l'AED et les parties prenantes externes (États membres, industrie, OTAN). </w:t>
                  </w:r>
                </w:p>
                <w:p w:rsidRPr="00D22B85" w:rsidR="00C130B6" w:rsidP="00C130B6" w:rsidRDefault="00C130B6" w14:paraId="655BE9BA"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Le candidat doit notamment posséder une ou plusieurs des qualités suivantes :</w:t>
                  </w:r>
                </w:p>
                <w:p w:rsidRPr="00D22B85" w:rsidR="00C130B6" w:rsidP="00C130B6" w:rsidRDefault="00C130B6" w14:paraId="122274AB"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Expérience professionnelle dans le domaine de la politique de défense, y compris dans la conception d'initiatives en matière de politique de défense au niveau de l'UE ou au niveau national et/ou dans la mise en œuvre de règles applicables au secteur de la défense ;</w:t>
                  </w:r>
                </w:p>
                <w:p w:rsidRPr="00D22B85" w:rsidR="00C130B6" w:rsidP="00C130B6" w:rsidRDefault="00C130B6" w14:paraId="4EE26D68"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lastRenderedPageBreak/>
                    <w:t>- Une bonne connaissance du secteur et du marché de la défense de l'UE, ainsi que de la politique industrielle de défense au niveau de l'UE et/ou des États membres est un atout ;</w:t>
                  </w:r>
                </w:p>
                <w:p w:rsidRPr="00D22B85" w:rsidR="00C130B6" w:rsidP="00C130B6" w:rsidRDefault="00C130B6" w14:paraId="5F8C0BD7"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Expérience dans des fonctions similaires ou connexes et expérience dans la collaboration avec les parties prenantes de l'industrie de la défense, ainsi qu'avec les États membres et l'OTAN.</w:t>
                  </w:r>
                </w:p>
                <w:p w:rsidRPr="00D22B85" w:rsidR="00C130B6" w:rsidP="00C130B6" w:rsidRDefault="00C130B6" w14:paraId="1AAF27E0"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Solides compétences en communication (écrite et orale) pour la rédaction de politiques et la collaboration avec les parties prenantes.</w:t>
                  </w:r>
                </w:p>
                <w:p w:rsidRPr="00D22B85" w:rsidR="00C130B6" w:rsidP="00C130B6" w:rsidRDefault="00C130B6" w14:paraId="4C997E03"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Capacité à travailler efficacement et en équipe avec des groupes diversifiés et à établir des réseaux solides.</w:t>
                  </w:r>
                </w:p>
                <w:p w:rsidRPr="00D22B85" w:rsidR="00C130B6" w:rsidP="00C130B6" w:rsidRDefault="00C130B6" w14:paraId="3784176D"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 Capacité à anticiper les défis futurs et à gérer les situations d'urgence, y compris à atténuer les dommages.</w:t>
                  </w:r>
                </w:p>
                <w:p w:rsidRPr="00D22B85" w:rsidR="00C130B6" w:rsidP="00C130B6" w:rsidRDefault="00C130B6" w14:paraId="61837E5F"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Langue(s) nécessaire(s) pour l'exercice des fonctions</w:t>
                  </w:r>
                </w:p>
                <w:p w:rsidRPr="00D22B85" w:rsidR="00C130B6" w:rsidP="00C130B6" w:rsidRDefault="00C130B6" w14:paraId="0C93F12F" w14:textId="77777777">
                  <w:pPr>
                    <w:rPr>
                      <w:rFonts w:asciiTheme="minorHAnsi" w:hAnsiTheme="minorHAnsi" w:cstheme="minorHAnsi"/>
                      <w:sz w:val="22"/>
                      <w:szCs w:val="22"/>
                      <w:lang w:val="pt-PT"/>
                    </w:rPr>
                  </w:pPr>
                  <w:r w:rsidRPr="00D22B85">
                    <w:rPr>
                      <w:rFonts w:asciiTheme="minorHAnsi" w:hAnsiTheme="minorHAnsi" w:cstheme="minorHAnsi"/>
                      <w:sz w:val="22"/>
                      <w:szCs w:val="22"/>
                      <w:lang w:val="pt-PT"/>
                    </w:rPr>
                    <w:t>Une bonne maîtrise de l'anglais est essentielle pour l'exercice des fonctions et la communication efficace avec les parties prenantes internes et externes.</w:t>
                  </w:r>
                </w:p>
                <w:p w:rsidRPr="00D22B85" w:rsidR="00E06776" w:rsidP="00C130B6" w:rsidRDefault="00C130B6" w14:paraId="472AB1B3" w14:textId="164D9E72">
                  <w:pPr>
                    <w:rPr>
                      <w:rFonts w:asciiTheme="minorHAnsi" w:hAnsiTheme="minorHAnsi" w:cstheme="minorHAnsi"/>
                      <w:sz w:val="22"/>
                      <w:szCs w:val="22"/>
                      <w:lang w:val="pt-PT"/>
                    </w:rPr>
                  </w:pPr>
                  <w:r w:rsidRPr="00D22B85">
                    <w:rPr>
                      <w:rFonts w:asciiTheme="minorHAnsi" w:hAnsiTheme="minorHAnsi" w:cstheme="minorHAnsi"/>
                      <w:sz w:val="22"/>
                      <w:szCs w:val="22"/>
                      <w:lang w:val="pt-PT"/>
                    </w:rPr>
                    <w:t xml:space="preserve">Le poste exige que les candidats soient titulaires d'une habilitation de sécurité (PSC) valide au niveau SECRET UE/EU SECRET. </w:t>
                  </w:r>
                </w:p>
              </w:sdtContent>
            </w:sdt>
            <w:p w:rsidRPr="00704C3D" w:rsidR="002E40A9" w:rsidP="00E06776" w:rsidRDefault="00D22B85" w14:paraId="51994EDB" w14:textId="4BF00DCC">
              <w:pPr>
                <w:spacing w:after="0"/>
                <w:rPr>
                  <w:lang w:val="fr-BE" w:eastAsia="en-GB"/>
                </w:rPr>
              </w:pPr>
            </w:p>
          </w:sdtContent>
        </w:sdt>
      </w:sdtContent>
    </w:sdt>
    <w:bookmarkEnd w:id="2"/>
    <w:p w:rsidRPr="00704C3D" w:rsidR="00E21DBD" w:rsidP="00E21DBD" w:rsidRDefault="00E21DBD" w14:paraId="4A6D5708" w14:textId="77777777">
      <w:pPr>
        <w:spacing w:after="0"/>
        <w:rPr>
          <w:lang w:val="fr-BE" w:eastAsia="en-GB"/>
        </w:rPr>
      </w:pPr>
    </w:p>
    <w:p w:rsidRPr="00704C3D" w:rsidR="00E21DBD" w:rsidP="00E21DBD" w:rsidRDefault="00E21DBD" w14:paraId="5FB0AB31" w14:textId="77777777">
      <w:pPr>
        <w:spacing w:after="0"/>
        <w:rPr>
          <w:lang w:val="fr-BE" w:eastAsia="en-GB"/>
        </w:rPr>
      </w:pPr>
    </w:p>
    <w:p w:rsidRPr="00704C3D" w:rsidR="00E21DBD" w:rsidP="00252050" w:rsidRDefault="00DF1E49" w14:paraId="17A4561D" w14:textId="2857CBE0">
      <w:pPr>
        <w:pStyle w:val="ListNumber"/>
        <w:keepNext/>
        <w:numPr>
          <w:ilvl w:val="0"/>
          <w:numId w:val="0"/>
        </w:numPr>
        <w:ind w:left="709" w:hanging="709"/>
        <w:rPr>
          <w:b/>
          <w:bCs/>
          <w:u w:val="single"/>
          <w:lang w:val="fr-BE" w:eastAsia="en-GB"/>
        </w:rPr>
      </w:pPr>
      <w:r w:rsidRPr="00704C3D">
        <w:rPr>
          <w:b/>
          <w:bCs/>
          <w:u w:val="single"/>
          <w:lang w:val="fr-BE" w:eastAsia="en-GB"/>
        </w:rPr>
        <w:t>Critères d'éligibilité</w:t>
      </w:r>
    </w:p>
    <w:p w:rsidRPr="00704C3D" w:rsidR="00E21DBD" w:rsidP="00252050" w:rsidRDefault="00E21DBD" w14:paraId="4351CD9B" w14:textId="329965A0">
      <w:pPr>
        <w:keepNext/>
        <w:rPr>
          <w:szCs w:val="24"/>
          <w:lang w:val="fr-BE" w:eastAsia="en-GB"/>
        </w:rPr>
      </w:pPr>
      <w:r w:rsidRPr="00704C3D">
        <w:rPr>
          <w:lang w:val="fr-BE" w:eastAsia="en-GB"/>
        </w:rPr>
        <w:t xml:space="preserve">Le détachement sera régi par la </w:t>
      </w:r>
      <w:r w:rsidRPr="00704C3D">
        <w:rPr>
          <w:b/>
          <w:lang w:val="fr-BE" w:eastAsia="en-GB"/>
        </w:rPr>
        <w:t xml:space="preserve">décision C(2008) 6866  de la Commission </w:t>
      </w:r>
      <w:r w:rsidRPr="00704C3D">
        <w:rPr>
          <w:bCs/>
          <w:lang w:val="fr-BE" w:eastAsia="en-GB"/>
        </w:rPr>
        <w:t xml:space="preserve">du 12/11/2008 </w:t>
      </w:r>
      <w:r w:rsidRPr="00704C3D">
        <w:rPr>
          <w:lang w:val="fr-BE" w:eastAsia="en-GB"/>
        </w:rPr>
        <w:t>fixant les règles relatives au détachement auprès de la Commission d'experts nationaux et d'experts nationaux en formation professionnelle (décision ENE).</w:t>
      </w:r>
    </w:p>
    <w:p w:rsidRPr="00704C3D" w:rsidR="00E21DBD" w:rsidP="009A2F00" w:rsidRDefault="00E21DBD" w14:paraId="34498A87" w14:textId="12420708">
      <w:pPr>
        <w:rPr>
          <w:lang w:val="fr-BE" w:eastAsia="en-GB"/>
        </w:rPr>
      </w:pPr>
      <w:r w:rsidRPr="00704C3D">
        <w:rPr>
          <w:lang w:val="fr-BE" w:eastAsia="en-GB"/>
        </w:rPr>
        <w:t xml:space="preserve">Aux termes de la décision ENS, vous devez remplir les critères d'éligibilité suivants à </w:t>
      </w:r>
      <w:r w:rsidRPr="00704C3D">
        <w:rPr>
          <w:b/>
          <w:bCs/>
          <w:lang w:val="fr-BE" w:eastAsia="en-GB"/>
        </w:rPr>
        <w:t>la date de début</w:t>
      </w:r>
      <w:r w:rsidRPr="00704C3D">
        <w:rPr>
          <w:lang w:val="fr-BE" w:eastAsia="en-GB"/>
        </w:rPr>
        <w:t xml:space="preserve"> du détachement :</w:t>
      </w:r>
    </w:p>
    <w:p w:rsidRPr="00704C3D" w:rsidR="00E21DBD" w:rsidP="00B73F08" w:rsidRDefault="00E21DBD" w14:paraId="2A82F38A" w14:textId="4F2D910B">
      <w:pPr>
        <w:pStyle w:val="ListBullet"/>
        <w:rPr>
          <w:lang w:val="fr-BE" w:eastAsia="en-GB"/>
        </w:rPr>
      </w:pPr>
      <w:r w:rsidRPr="00704C3D">
        <w:rPr>
          <w:u w:val="single"/>
          <w:lang w:val="fr-BE" w:eastAsia="en-GB"/>
        </w:rPr>
        <w:t>Expérience professionnelle :</w:t>
      </w:r>
      <w:r w:rsidRPr="00704C3D">
        <w:rPr>
          <w:lang w:val="fr-BE" w:eastAsia="en-GB"/>
        </w:rPr>
        <w:t xml:space="preserve"> au moins trois ans d'expérience professionnelle dans des fonctions administratives, juridiques, scientifiques, techniques, de conseil ou de surveillance équivalentes à celles du groupe de fonctions AD.</w:t>
      </w:r>
    </w:p>
    <w:p w:rsidRPr="00704C3D" w:rsidR="00E21DBD" w:rsidP="00B73F08" w:rsidRDefault="00E21DBD" w14:paraId="47ED62CE" w14:textId="11B29858">
      <w:pPr>
        <w:pStyle w:val="ListBullet"/>
        <w:rPr>
          <w:lang w:val="fr-BE" w:eastAsia="en-GB"/>
        </w:rPr>
      </w:pPr>
      <w:r w:rsidRPr="00704C3D">
        <w:rPr>
          <w:u w:val="single"/>
          <w:lang w:val="fr-BE" w:eastAsia="en-GB"/>
        </w:rPr>
        <w:t>Ancienneté :</w:t>
      </w:r>
      <w:r w:rsidRPr="00704C3D">
        <w:rPr>
          <w:lang w:val="fr-BE" w:eastAsia="en-GB"/>
        </w:rPr>
        <w:t xml:space="preserve"> avoir travaillé pendant au moins une année complète (12 mois) auprès de votre employeur actuel à titre </w:t>
      </w:r>
      <w:r w:rsidR="0073011F">
        <w:rPr>
          <w:lang w:val="fr-BE" w:eastAsia="en-GB"/>
        </w:rPr>
        <w:t>statutaire</w:t>
      </w:r>
      <w:r w:rsidRPr="00704C3D">
        <w:rPr>
          <w:lang w:val="fr-BE" w:eastAsia="en-GB"/>
        </w:rPr>
        <w:t xml:space="preserve"> ou contractuel.</w:t>
      </w:r>
    </w:p>
    <w:p w:rsidRPr="00704C3D" w:rsidR="00E21DBD" w:rsidP="00B73F08" w:rsidRDefault="00E21DBD" w14:paraId="52986B8D" w14:textId="511D026E">
      <w:pPr>
        <w:pStyle w:val="ListBullet"/>
        <w:rPr>
          <w:lang w:val="fr-BE" w:eastAsia="en-GB"/>
        </w:rPr>
      </w:pPr>
      <w:r w:rsidRPr="00704C3D">
        <w:rPr>
          <w:u w:val="single"/>
          <w:lang w:val="fr-BE" w:eastAsia="en-GB"/>
        </w:rPr>
        <w:t>Employeur :</w:t>
      </w:r>
      <w:r w:rsidRPr="00704C3D">
        <w:rPr>
          <w:lang w:val="fr-BE" w:eastAsia="en-GB"/>
        </w:rPr>
        <w:t xml:space="preserve"> il doit s'agir d'une administration nationale, régionale ou locale ou d'une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rsidRPr="00704C3D" w:rsidR="00E21DBD" w:rsidP="00B73F08" w:rsidRDefault="00E21DBD" w14:paraId="36ECEE24" w14:textId="6AFC3740">
      <w:pPr>
        <w:pStyle w:val="ListBullet"/>
        <w:rPr>
          <w:lang w:val="fr-BE" w:eastAsia="en-GB"/>
        </w:rPr>
      </w:pPr>
      <w:r w:rsidRPr="00704C3D">
        <w:rPr>
          <w:u w:val="single"/>
          <w:lang w:val="fr-BE" w:eastAsia="en-GB"/>
        </w:rPr>
        <w:t>Compétences linguistiques :</w:t>
      </w:r>
      <w:r w:rsidRPr="00704C3D">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rsidRPr="00704C3D" w:rsidR="00DF1E49" w:rsidP="009A2F00" w:rsidRDefault="00DF1E49" w14:paraId="50737F3B" w14:textId="79E4DE89">
      <w:pPr>
        <w:rPr>
          <w:lang w:val="fr-BE" w:eastAsia="en-GB"/>
        </w:rPr>
      </w:pPr>
    </w:p>
    <w:p w:rsidRPr="00704C3D" w:rsidR="00DF1E49" w:rsidP="00252050" w:rsidRDefault="00DF1E49" w14:paraId="5C3A2162" w14:textId="789CE808">
      <w:pPr>
        <w:pStyle w:val="ListNumber"/>
        <w:keepNext/>
        <w:numPr>
          <w:ilvl w:val="0"/>
          <w:numId w:val="0"/>
        </w:numPr>
        <w:ind w:left="709" w:hanging="709"/>
        <w:rPr>
          <w:b/>
          <w:bCs/>
          <w:u w:val="single"/>
          <w:lang w:val="fr-BE" w:eastAsia="en-GB"/>
        </w:rPr>
      </w:pPr>
      <w:r w:rsidRPr="00704C3D">
        <w:rPr>
          <w:b/>
          <w:bCs/>
          <w:u w:val="single"/>
          <w:lang w:val="fr-BE" w:eastAsia="en-GB"/>
        </w:rPr>
        <w:lastRenderedPageBreak/>
        <w:t>Conditions de détachement</w:t>
      </w:r>
    </w:p>
    <w:p w:rsidRPr="00704C3D" w:rsidR="00E21DBD" w:rsidP="00252050" w:rsidRDefault="00D96984" w14:paraId="42ECB69D" w14:textId="49CFA327">
      <w:pPr>
        <w:keepNext/>
        <w:rPr>
          <w:lang w:val="fr-BE" w:eastAsia="en-GB"/>
        </w:rPr>
      </w:pPr>
      <w:r w:rsidRPr="00704C3D">
        <w:rPr>
          <w:lang w:val="fr-BE" w:eastAsia="en-GB"/>
        </w:rPr>
        <w:t xml:space="preserve">Pendant toute la durée de votre détachement, vous devez rester employé et rémunéré par votre employeur et couvert par votre système de sécurité sociale (national). </w:t>
      </w:r>
    </w:p>
    <w:p w:rsidRPr="00704C3D" w:rsidR="009A2F00" w:rsidP="009A2F00" w:rsidRDefault="00B73F08" w14:paraId="0A5C5740" w14:textId="54FC005C">
      <w:pPr>
        <w:rPr>
          <w:lang w:val="fr-BE" w:eastAsia="en-GB"/>
        </w:rPr>
      </w:pPr>
      <w:r w:rsidRPr="00704C3D">
        <w:rPr>
          <w:lang w:val="fr-BE" w:eastAsia="en-GB"/>
        </w:rPr>
        <w:t>Vous exercerez vos fonctions au sein de la Commission dans les conditions prévues par la décision SNE précitée et serez soumis aux règles de confidentialité, de loyauté et d'absence de conflit d'intérêts telles qu'elles y sont définies.</w:t>
      </w:r>
    </w:p>
    <w:p w:rsidRPr="00704C3D" w:rsidR="009A2F00" w:rsidP="009A2F00" w:rsidRDefault="00B73F08" w14:paraId="345CD839" w14:textId="70CE9630">
      <w:pPr>
        <w:rPr>
          <w:lang w:val="fr-BE" w:eastAsia="en-GB"/>
        </w:rPr>
      </w:pPr>
      <w:r w:rsidRPr="00704C3D">
        <w:rPr>
          <w:lang w:val="fr-BE" w:eastAsia="en-GB"/>
        </w:rPr>
        <w:t xml:space="preserve">Dans le cas où le poste est publié avec des indemnités, celles-ci ne peuvent être accordées que si vous remplissez les conditions prévues à l'article 17 de la décision ENS. </w:t>
      </w:r>
    </w:p>
    <w:p w:rsidRPr="00704C3D" w:rsidR="00E21DBD" w:rsidP="009A2F00" w:rsidRDefault="009A2F00" w14:paraId="58EAEF9C" w14:textId="2137133C">
      <w:pPr>
        <w:rPr>
          <w:lang w:val="fr-BE" w:eastAsia="en-GB"/>
        </w:rPr>
      </w:pPr>
      <w:r w:rsidRPr="00704C3D">
        <w:rPr>
          <w:lang w:val="fr-BE" w:eastAsia="en-GB"/>
        </w:rPr>
        <w:t xml:space="preserve">Le personnel en poste dans une </w:t>
      </w:r>
      <w:r w:rsidRPr="00704C3D" w:rsidR="00E21DBD">
        <w:rPr>
          <w:bCs/>
          <w:lang w:val="fr-BE" w:eastAsia="en-GB"/>
        </w:rPr>
        <w:t>délégation de l'Union européenne</w:t>
      </w:r>
      <w:r w:rsidRPr="00704C3D" w:rsidR="00E21DBD">
        <w:rPr>
          <w:lang w:val="fr-BE" w:eastAsia="en-GB"/>
        </w:rPr>
        <w:t xml:space="preserve"> est tenu de disposer d'une habilitation de sécurité (jusqu'au niveau SECRET UE/EU SECRET) conformément à </w:t>
      </w:r>
      <w:hyperlink w:history="1" r:id="rId27">
        <w:r w:rsidRPr="00704C3D" w:rsidR="005168AD">
          <w:rPr>
            <w:rStyle w:val="Hyperlink"/>
            <w:lang w:val="fr-BE"/>
          </w:rPr>
          <w:t xml:space="preserve"> la décision (UE, Euratom) 2015/444 de la Commission du 13 mars 2015</w:t>
        </w:r>
      </w:hyperlink>
      <w:r w:rsidRPr="00704C3D" w:rsidR="00E21DBD">
        <w:rPr>
          <w:lang w:val="fr-BE" w:eastAsia="en-GB"/>
        </w:rPr>
        <w:t>.  C'est à vous de lancer la procédure de vérification avant d'obtenir la confirmation de détachement.</w:t>
      </w:r>
    </w:p>
    <w:p w:rsidRPr="00704C3D" w:rsidR="00E21DBD" w:rsidP="009A2F00" w:rsidRDefault="00E21DBD" w14:paraId="47F718AD" w14:textId="31125EBD">
      <w:pPr>
        <w:rPr>
          <w:lang w:val="fr-BE" w:eastAsia="en-GB"/>
        </w:rPr>
      </w:pPr>
    </w:p>
    <w:p w:rsidRPr="00704C3D" w:rsidR="00E21DBD" w:rsidP="00252050" w:rsidRDefault="00E21DBD" w14:paraId="6D7A78FD" w14:textId="720F9762">
      <w:pPr>
        <w:pStyle w:val="ListNumber"/>
        <w:keepNext/>
        <w:numPr>
          <w:ilvl w:val="0"/>
          <w:numId w:val="0"/>
        </w:numPr>
        <w:ind w:left="709" w:hanging="709"/>
        <w:rPr>
          <w:b/>
          <w:bCs/>
          <w:u w:val="single"/>
          <w:lang w:val="fr-BE" w:eastAsia="en-GB"/>
        </w:rPr>
      </w:pPr>
      <w:r w:rsidRPr="00704C3D">
        <w:rPr>
          <w:b/>
          <w:bCs/>
          <w:u w:val="single"/>
          <w:lang w:val="fr-BE" w:eastAsia="en-GB"/>
        </w:rPr>
        <w:t>Dépôt des candidatures et procédure de sélection</w:t>
      </w:r>
    </w:p>
    <w:p w:rsidRPr="00704C3D" w:rsidR="00693BC6" w:rsidP="00693BC6" w:rsidRDefault="00693BC6" w14:paraId="737732DB" w14:textId="59C050A8">
      <w:pPr>
        <w:keepNext/>
        <w:rPr>
          <w:lang w:val="fr-BE" w:eastAsia="en-GB"/>
        </w:rPr>
      </w:pPr>
      <w:r w:rsidRPr="00704C3D">
        <w:rPr>
          <w:lang w:val="fr-BE" w:eastAsia="en-GB"/>
        </w:rPr>
        <w:t xml:space="preserve">Si vous êtes intéressé, veuillez suivre les instructions données par votre employeur sur la façon de postuler. </w:t>
      </w:r>
    </w:p>
    <w:p w:rsidRPr="00704C3D" w:rsidR="00693BC6" w:rsidP="00252050" w:rsidRDefault="00693BC6" w14:paraId="01FE2616" w14:textId="4EB5B95F">
      <w:pPr>
        <w:keepNext/>
        <w:rPr>
          <w:lang w:val="fr-BE" w:eastAsia="en-GB"/>
        </w:rPr>
      </w:pPr>
      <w:r w:rsidRPr="00704C3D">
        <w:rPr>
          <w:lang w:val="fr-BE" w:eastAsia="en-GB"/>
        </w:rPr>
        <w:t xml:space="preserve">La Commission européenne </w:t>
      </w:r>
      <w:r w:rsidRPr="00704C3D">
        <w:rPr>
          <w:b/>
          <w:lang w:val="fr-BE" w:eastAsia="en-GB"/>
        </w:rPr>
        <w:t xml:space="preserve">n'accepte que les demandes qui ont été soumises par l'intermédiaire de la représentation permanente/mission diplomatique auprès de l'UE de votre pays, du secrétariat de l'AELE ou </w:t>
      </w:r>
      <w:r w:rsidRPr="0073011F" w:rsidR="00C67066">
        <w:rPr>
          <w:b/>
          <w:lang w:val="fr-BE" w:eastAsia="en-GB"/>
        </w:rPr>
        <w:t> par l</w:t>
      </w:r>
      <w:r w:rsidR="00C67066">
        <w:rPr>
          <w:b/>
          <w:lang w:val="fr-BE" w:eastAsia="en-GB"/>
        </w:rPr>
        <w:t>e canal</w:t>
      </w:r>
      <w:r w:rsidRPr="0073011F" w:rsidR="00C67066">
        <w:rPr>
          <w:b/>
          <w:lang w:val="fr-BE" w:eastAsia="en-GB"/>
        </w:rPr>
        <w:t xml:space="preserve"> ou les canaux </w:t>
      </w:r>
      <w:r w:rsidRPr="00704C3D">
        <w:rPr>
          <w:b/>
          <w:lang w:val="fr-BE" w:eastAsia="en-GB"/>
        </w:rPr>
        <w:t>qu'elle a spécifiquement approuvé(s).</w:t>
      </w:r>
      <w:r w:rsidRPr="00704C3D">
        <w:rPr>
          <w:lang w:val="fr-BE" w:eastAsia="en-GB"/>
        </w:rPr>
        <w:t xml:space="preserve"> Les demandes reçues directement de votre part ou de celle de votre employeur ne seront pas prises en considération.</w:t>
      </w:r>
    </w:p>
    <w:p w:rsidRPr="00704C3D" w:rsidR="00B73F08" w:rsidP="00252050" w:rsidRDefault="00693BC6" w14:paraId="0F7E0F3E" w14:textId="42443FEA">
      <w:pPr>
        <w:keepNext/>
        <w:rPr>
          <w:lang w:val="fr-BE" w:eastAsia="en-GB"/>
        </w:rPr>
      </w:pPr>
      <w:r w:rsidRPr="00704C3D">
        <w:rPr>
          <w:lang w:val="fr-BE" w:eastAsia="en-GB"/>
        </w:rPr>
        <w:t xml:space="preserve">Vous devez rédiger votre CV en anglais, en français ou en allemand en utilisant le </w:t>
      </w:r>
      <w:r w:rsidRPr="00704C3D" w:rsidR="00E21DBD">
        <w:rPr>
          <w:b/>
          <w:lang w:val="fr-BE" w:eastAsia="en-GB"/>
        </w:rPr>
        <w:t xml:space="preserve">format de CV Europass </w:t>
      </w:r>
      <w:r w:rsidRPr="00704C3D" w:rsidR="00E21DBD">
        <w:rPr>
          <w:lang w:val="fr-BE" w:eastAsia="en-GB"/>
        </w:rPr>
        <w:t>(</w:t>
      </w:r>
      <w:hyperlink w:history="1" r:id="rId28">
        <w:hyperlink w:history="1" r:id="rId29">
          <w:r w:rsidRPr="00704C3D" w:rsidR="00E21DBD">
            <w:rPr>
              <w:rStyle w:val="Hyperlink"/>
              <w:szCs w:val="24"/>
              <w:lang w:val="fr-BE"/>
            </w:rPr>
            <w:t>Créez votre CV Europass | Europass</w:t>
          </w:r>
        </w:hyperlink>
      </w:hyperlink>
      <w:r w:rsidRPr="00704C3D" w:rsidR="00E21DBD">
        <w:rPr>
          <w:lang w:val="fr-BE" w:eastAsia="en-GB"/>
        </w:rPr>
        <w:t>). Il doit mentionner votre nationalité.</w:t>
      </w:r>
    </w:p>
    <w:p w:rsidRPr="00704C3D" w:rsidR="00E21DBD" w:rsidP="009A2F00" w:rsidRDefault="00665583" w14:paraId="5D1B7045" w14:textId="53BEFD6E">
      <w:pPr>
        <w:rPr>
          <w:lang w:val="fr-BE" w:eastAsia="en-GB"/>
        </w:rPr>
      </w:pPr>
      <w:r w:rsidRPr="00704C3D">
        <w:rPr>
          <w:lang w:val="fr-BE" w:eastAsia="en-GB"/>
        </w:rPr>
        <w:t>Veuillez ne pas ajouter d'autres documents (tels qu'une copie du passeport, une copie des diplômes ou du certificat d'expérience professionnelle, etc.). Si nécessaire, ceux-ci seront demandés ultérieurement.</w:t>
      </w:r>
    </w:p>
    <w:p w:rsidRPr="00704C3D" w:rsidR="00E21DBD" w:rsidP="009A2F00" w:rsidRDefault="00E21DBD" w14:paraId="00AF0134" w14:textId="77777777">
      <w:pPr>
        <w:rPr>
          <w:lang w:val="fr-BE" w:eastAsia="en-GB"/>
        </w:rPr>
      </w:pPr>
    </w:p>
    <w:p w:rsidRPr="00704C3D" w:rsidR="00E21DBD" w:rsidP="00252050" w:rsidRDefault="00E21DBD" w14:paraId="54CDDE36" w14:textId="52364A78">
      <w:pPr>
        <w:pStyle w:val="ListNumber"/>
        <w:keepNext/>
        <w:numPr>
          <w:ilvl w:val="0"/>
          <w:numId w:val="0"/>
        </w:numPr>
        <w:ind w:left="709" w:hanging="709"/>
        <w:rPr>
          <w:b/>
          <w:bCs/>
          <w:u w:val="single"/>
          <w:lang w:val="fr-BE" w:eastAsia="en-GB"/>
        </w:rPr>
      </w:pPr>
      <w:r w:rsidRPr="00704C3D">
        <w:rPr>
          <w:b/>
          <w:bCs/>
          <w:u w:val="single"/>
          <w:lang w:val="fr-BE" w:eastAsia="en-GB"/>
        </w:rPr>
        <w:t>Traitement des données à caractère personnel</w:t>
      </w:r>
    </w:p>
    <w:p w:rsidRPr="00704C3D" w:rsidR="00F93413" w:rsidP="007F02AC" w:rsidRDefault="00C75BA4" w14:paraId="0D144B0D" w14:textId="3A98F9D8">
      <w:pPr>
        <w:keepNext/>
        <w:rPr>
          <w:lang w:val="fr-BE"/>
        </w:rPr>
      </w:pPr>
      <w:r w:rsidRPr="00704C3D">
        <w:rPr>
          <w:lang w:val="fr-BE"/>
        </w:rPr>
        <w:t>La Commission veillera à ce que les données à caractère personnel des candidats soient traitées conformément au règlement (UE) 2018/1725 du Parlement européen et du Conseil (</w:t>
      </w:r>
      <w:r>
        <w:rPr>
          <w:rStyle w:val="FootnoteReference"/>
          <w:sz w:val="22"/>
          <w:szCs w:val="22"/>
        </w:rPr>
        <w:footnoteReference w:id="1"/>
      </w:r>
      <w:r w:rsidRPr="00704C3D">
        <w:rPr>
          <w:lang w:val="fr-BE"/>
        </w:rPr>
        <w:t>). Cela s'applique en particulier à la confidentialité et à la sécurité de ces données. Avant de postuler, veuillez lire la déclaration de confidentialité ci-jointe.</w:t>
      </w:r>
      <w:bookmarkStart w:name="_Hlk132131276" w:id="3"/>
      <w:bookmarkEnd w:id="3"/>
    </w:p>
    <w:sectPr w:rsidRPr="00704C3D"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704C3D" w:rsidR="00C75BA4" w:rsidRDefault="00C75BA4" w14:paraId="6AE43B3C" w14:textId="5EDB2F13">
      <w:pPr>
        <w:pStyle w:val="FootnoteText"/>
        <w:rPr>
          <w:lang w:val="fr-BE"/>
        </w:rPr>
      </w:pPr>
      <w:r w:rsidRPr="00704C3D">
        <w:rPr>
          <w:lang w:val="fr-BE"/>
        </w:rPr>
        <w:t>(</w:t>
      </w:r>
      <w:r>
        <w:rPr>
          <w:rStyle w:val="FootnoteReference"/>
        </w:rPr>
        <w:footnoteRef/>
      </w:r>
      <w:r w:rsidRPr="00704C3D">
        <w:rPr>
          <w:lang w:val="fr-BE"/>
        </w:rPr>
        <w:t>)</w:t>
      </w:r>
      <w:r w:rsidRPr="00704C3D">
        <w:rPr>
          <w:lang w:val="fr-BE"/>
        </w:rPr>
        <w:tab/>
      </w:r>
      <w:r w:rsidRPr="00704C3D">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hint="default" w:ascii="Times New Roman" w:hAnsi="Times New Roman" w:eastAsia="Times New Roman"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hint="default" w:ascii="Times New Roman" w:hAnsi="Times New Roman" w:eastAsia="Times New Roman"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56614E1"/>
    <w:multiLevelType w:val="hybridMultilevel"/>
    <w:tmpl w:val="7BA4C44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B168B8"/>
    <w:multiLevelType w:val="hybridMultilevel"/>
    <w:tmpl w:val="3B8CF2C4"/>
    <w:lvl w:ilvl="0" w:tplc="639817C4">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0"/>
  </w:num>
  <w:num w:numId="35" w16cid:durableId="1218200411">
    <w:abstractNumId w:val="26"/>
  </w:num>
  <w:num w:numId="36" w16cid:durableId="2011370708">
    <w:abstractNumId w:val="8"/>
  </w:num>
  <w:num w:numId="37" w16cid:durableId="165271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9D3"/>
    <w:rsid w:val="00002862"/>
    <w:rsid w:val="00012665"/>
    <w:rsid w:val="00046B67"/>
    <w:rsid w:val="0007110E"/>
    <w:rsid w:val="0007544E"/>
    <w:rsid w:val="00092BCA"/>
    <w:rsid w:val="000A4668"/>
    <w:rsid w:val="000D129C"/>
    <w:rsid w:val="000E700F"/>
    <w:rsid w:val="000F371B"/>
    <w:rsid w:val="000F4CD5"/>
    <w:rsid w:val="000F722F"/>
    <w:rsid w:val="00111AB6"/>
    <w:rsid w:val="001C1439"/>
    <w:rsid w:val="001C22A3"/>
    <w:rsid w:val="001D0A81"/>
    <w:rsid w:val="002109E6"/>
    <w:rsid w:val="00252050"/>
    <w:rsid w:val="002B3CBF"/>
    <w:rsid w:val="002C13C3"/>
    <w:rsid w:val="002C49D0"/>
    <w:rsid w:val="002D0479"/>
    <w:rsid w:val="002E40A9"/>
    <w:rsid w:val="00355591"/>
    <w:rsid w:val="00360BF2"/>
    <w:rsid w:val="00394447"/>
    <w:rsid w:val="003D3FEB"/>
    <w:rsid w:val="003E50A4"/>
    <w:rsid w:val="0040388A"/>
    <w:rsid w:val="00416B25"/>
    <w:rsid w:val="00431778"/>
    <w:rsid w:val="00454CC7"/>
    <w:rsid w:val="00464195"/>
    <w:rsid w:val="00466BA3"/>
    <w:rsid w:val="00472250"/>
    <w:rsid w:val="00476034"/>
    <w:rsid w:val="00496CDC"/>
    <w:rsid w:val="004D1270"/>
    <w:rsid w:val="004E5704"/>
    <w:rsid w:val="00501571"/>
    <w:rsid w:val="005168AD"/>
    <w:rsid w:val="00532520"/>
    <w:rsid w:val="00535C44"/>
    <w:rsid w:val="005647D1"/>
    <w:rsid w:val="0058240F"/>
    <w:rsid w:val="00592CD5"/>
    <w:rsid w:val="005A6398"/>
    <w:rsid w:val="005D1B85"/>
    <w:rsid w:val="005D6AA0"/>
    <w:rsid w:val="005E698F"/>
    <w:rsid w:val="00610014"/>
    <w:rsid w:val="006212B2"/>
    <w:rsid w:val="006264A4"/>
    <w:rsid w:val="00665583"/>
    <w:rsid w:val="00693BC6"/>
    <w:rsid w:val="00696070"/>
    <w:rsid w:val="006D0F07"/>
    <w:rsid w:val="00704C3D"/>
    <w:rsid w:val="0073011F"/>
    <w:rsid w:val="007A32A2"/>
    <w:rsid w:val="007E531E"/>
    <w:rsid w:val="007F02AC"/>
    <w:rsid w:val="007F7012"/>
    <w:rsid w:val="00850547"/>
    <w:rsid w:val="00853BCD"/>
    <w:rsid w:val="008C6087"/>
    <w:rsid w:val="008C7327"/>
    <w:rsid w:val="008C73C9"/>
    <w:rsid w:val="008D02B7"/>
    <w:rsid w:val="008F0B52"/>
    <w:rsid w:val="008F4BA9"/>
    <w:rsid w:val="008F78F5"/>
    <w:rsid w:val="00947467"/>
    <w:rsid w:val="009518B4"/>
    <w:rsid w:val="0099124F"/>
    <w:rsid w:val="00994062"/>
    <w:rsid w:val="00996CC6"/>
    <w:rsid w:val="009A1EA0"/>
    <w:rsid w:val="009A2F00"/>
    <w:rsid w:val="009C5E27"/>
    <w:rsid w:val="00A011E9"/>
    <w:rsid w:val="00A033AD"/>
    <w:rsid w:val="00A159BB"/>
    <w:rsid w:val="00AB2CEA"/>
    <w:rsid w:val="00AF6424"/>
    <w:rsid w:val="00B24CC5"/>
    <w:rsid w:val="00B3644B"/>
    <w:rsid w:val="00B61B51"/>
    <w:rsid w:val="00B65513"/>
    <w:rsid w:val="00B73F08"/>
    <w:rsid w:val="00B8014C"/>
    <w:rsid w:val="00BB6414"/>
    <w:rsid w:val="00C06724"/>
    <w:rsid w:val="00C130B6"/>
    <w:rsid w:val="00C17797"/>
    <w:rsid w:val="00C3254D"/>
    <w:rsid w:val="00C504C7"/>
    <w:rsid w:val="00C67066"/>
    <w:rsid w:val="00C75BA4"/>
    <w:rsid w:val="00CA09F7"/>
    <w:rsid w:val="00CA7A1F"/>
    <w:rsid w:val="00CB2A8D"/>
    <w:rsid w:val="00CB5B61"/>
    <w:rsid w:val="00CC2BA5"/>
    <w:rsid w:val="00CD1F85"/>
    <w:rsid w:val="00CD2C5A"/>
    <w:rsid w:val="00D0015C"/>
    <w:rsid w:val="00D03CF4"/>
    <w:rsid w:val="00D22B85"/>
    <w:rsid w:val="00D43B19"/>
    <w:rsid w:val="00D474A9"/>
    <w:rsid w:val="00D7090C"/>
    <w:rsid w:val="00D84D53"/>
    <w:rsid w:val="00D96984"/>
    <w:rsid w:val="00DD41ED"/>
    <w:rsid w:val="00DE3089"/>
    <w:rsid w:val="00DE329F"/>
    <w:rsid w:val="00DF1E49"/>
    <w:rsid w:val="00E06776"/>
    <w:rsid w:val="00E21DBD"/>
    <w:rsid w:val="00E342CB"/>
    <w:rsid w:val="00E41704"/>
    <w:rsid w:val="00E44D7F"/>
    <w:rsid w:val="00E63FCF"/>
    <w:rsid w:val="00E7546A"/>
    <w:rsid w:val="00E82667"/>
    <w:rsid w:val="00E84FE8"/>
    <w:rsid w:val="00EB3147"/>
    <w:rsid w:val="00ED10DB"/>
    <w:rsid w:val="00EF337D"/>
    <w:rsid w:val="00EF55A0"/>
    <w:rsid w:val="00F4683D"/>
    <w:rsid w:val="00F6462F"/>
    <w:rsid w:val="00F91B73"/>
    <w:rsid w:val="00F93413"/>
    <w:rsid w:val="00FA552C"/>
    <w:rsid w:val="00FD740F"/>
    <w:rsid w:val="0B070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B6414"/>
    <w:rPr>
      <w:sz w:val="16"/>
      <w:szCs w:val="16"/>
    </w:rPr>
  </w:style>
  <w:style w:type="paragraph" w:styleId="CommentText">
    <w:name w:val="annotation text"/>
    <w:basedOn w:val="Normal"/>
    <w:link w:val="CommentTextChar"/>
    <w:semiHidden/>
    <w:locked/>
    <w:rsid w:val="00BB6414"/>
    <w:rPr>
      <w:sz w:val="20"/>
    </w:rPr>
  </w:style>
  <w:style w:type="character" w:styleId="CommentTextChar" w:customStyle="1">
    <w:name w:val="Comment Text Char"/>
    <w:basedOn w:val="DefaultParagraphFont"/>
    <w:link w:val="CommentText"/>
    <w:semiHidden/>
    <w:rsid w:val="00BB6414"/>
    <w:rPr>
      <w:sz w:val="20"/>
    </w:rPr>
  </w:style>
  <w:style w:type="paragraph" w:styleId="CommentSubject">
    <w:name w:val="annotation subject"/>
    <w:basedOn w:val="CommentText"/>
    <w:next w:val="CommentText"/>
    <w:link w:val="CommentSubjectChar"/>
    <w:semiHidden/>
    <w:locked/>
    <w:rsid w:val="00BB6414"/>
    <w:rPr>
      <w:b/>
      <w:bCs/>
    </w:rPr>
  </w:style>
  <w:style w:type="character" w:styleId="CommentSubjectChar" w:customStyle="1">
    <w:name w:val="Comment Subject Char"/>
    <w:basedOn w:val="CommentTextChar"/>
    <w:link w:val="CommentSubject"/>
    <w:semiHidden/>
    <w:rsid w:val="00BB6414"/>
    <w:rPr>
      <w:b/>
      <w:bCs/>
      <w:sz w:val="20"/>
    </w:rPr>
  </w:style>
  <w:style w:type="paragraph" w:styleId="NormalWeb">
    <w:name w:val="Normal (Web)"/>
    <w:basedOn w:val="Normal"/>
    <w:semiHidden/>
    <w:locked/>
    <w:rsid w:val="00466BA3"/>
    <w:rPr>
      <w:szCs w:val="24"/>
    </w:rPr>
  </w:style>
  <w:style w:type="character" w:styleId="UnresolvedMention">
    <w:name w:val="Unresolved Mention"/>
    <w:basedOn w:val="DefaultParagraphFont"/>
    <w:semiHidden/>
    <w:locked/>
    <w:rsid w:val="00466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691">
      <w:bodyDiv w:val="1"/>
      <w:marLeft w:val="0"/>
      <w:marRight w:val="0"/>
      <w:marTop w:val="0"/>
      <w:marBottom w:val="0"/>
      <w:divBdr>
        <w:top w:val="none" w:sz="0" w:space="0" w:color="auto"/>
        <w:left w:val="none" w:sz="0" w:space="0" w:color="auto"/>
        <w:bottom w:val="none" w:sz="0" w:space="0" w:color="auto"/>
        <w:right w:val="none" w:sz="0" w:space="0" w:color="auto"/>
      </w:divBdr>
    </w:div>
    <w:div w:id="695664854">
      <w:bodyDiv w:val="1"/>
      <w:marLeft w:val="0"/>
      <w:marRight w:val="0"/>
      <w:marTop w:val="0"/>
      <w:marBottom w:val="0"/>
      <w:divBdr>
        <w:top w:val="none" w:sz="0" w:space="0" w:color="auto"/>
        <w:left w:val="none" w:sz="0" w:space="0" w:color="auto"/>
        <w:bottom w:val="none" w:sz="0" w:space="0" w:color="auto"/>
        <w:right w:val="none" w:sz="0" w:space="0" w:color="auto"/>
      </w:divBdr>
    </w:div>
    <w:div w:id="769813447">
      <w:bodyDiv w:val="1"/>
      <w:marLeft w:val="0"/>
      <w:marRight w:val="0"/>
      <w:marTop w:val="0"/>
      <w:marBottom w:val="0"/>
      <w:divBdr>
        <w:top w:val="none" w:sz="0" w:space="0" w:color="auto"/>
        <w:left w:val="none" w:sz="0" w:space="0" w:color="auto"/>
        <w:bottom w:val="none" w:sz="0" w:space="0" w:color="auto"/>
        <w:right w:val="none" w:sz="0" w:space="0" w:color="auto"/>
      </w:divBdr>
    </w:div>
    <w:div w:id="828600677">
      <w:bodyDiv w:val="1"/>
      <w:marLeft w:val="0"/>
      <w:marRight w:val="0"/>
      <w:marTop w:val="0"/>
      <w:marBottom w:val="0"/>
      <w:divBdr>
        <w:top w:val="none" w:sz="0" w:space="0" w:color="auto"/>
        <w:left w:val="none" w:sz="0" w:space="0" w:color="auto"/>
        <w:bottom w:val="none" w:sz="0" w:space="0" w:color="auto"/>
        <w:right w:val="none" w:sz="0" w:space="0" w:color="auto"/>
      </w:divBdr>
    </w:div>
    <w:div w:id="1747023873">
      <w:bodyDiv w:val="1"/>
      <w:marLeft w:val="0"/>
      <w:marRight w:val="0"/>
      <w:marTop w:val="0"/>
      <w:marBottom w:val="0"/>
      <w:divBdr>
        <w:top w:val="none" w:sz="0" w:space="0" w:color="auto"/>
        <w:left w:val="none" w:sz="0" w:space="0" w:color="auto"/>
        <w:bottom w:val="none" w:sz="0" w:space="0" w:color="auto"/>
        <w:right w:val="none" w:sz="0" w:space="0" w:color="auto"/>
      </w:divBdr>
    </w:div>
    <w:div w:id="2013681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P="006D0F07" w:rsidRDefault="006D0F07">
          <w:pPr>
            <w:pStyle w:val="989B17E4D37041E7A5C7C5D85AB047A6"/>
          </w:pPr>
          <w:r w:rsidRPr="00BD2312">
            <w:rPr>
              <w:rStyle w:val="PlaceholderText"/>
            </w:rPr>
            <w:t>Click or tap here to enter text.</w:t>
          </w:r>
        </w:p>
      </w:docPartBody>
    </w:docPart>
    <w:docPart>
      <w:docPartPr>
        <w:name w:val="3871F4C8F6E14B05BF9EE73CF8984495"/>
        <w:category>
          <w:name w:val="General"/>
          <w:gallery w:val="placeholder"/>
        </w:category>
        <w:types>
          <w:type w:val="bbPlcHdr"/>
        </w:types>
        <w:behaviors>
          <w:behavior w:val="content"/>
        </w:behaviors>
        <w:guid w:val="{9C4F02F7-513C-4013-8292-F978E36A1267}"/>
      </w:docPartPr>
      <w:docPartBody>
        <w:p w:rsidR="007A32A2" w:rsidP="007A32A2" w:rsidRDefault="007A32A2">
          <w:pPr>
            <w:pStyle w:val="3871F4C8F6E14B05BF9EE73CF898449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0E700F"/>
    <w:rsid w:val="001E3B1B"/>
    <w:rsid w:val="00360BF2"/>
    <w:rsid w:val="003D3FEB"/>
    <w:rsid w:val="00416B25"/>
    <w:rsid w:val="00496CDC"/>
    <w:rsid w:val="00610014"/>
    <w:rsid w:val="006212B2"/>
    <w:rsid w:val="006264A4"/>
    <w:rsid w:val="006D0F07"/>
    <w:rsid w:val="006F0611"/>
    <w:rsid w:val="007A32A2"/>
    <w:rsid w:val="007F7378"/>
    <w:rsid w:val="00893390"/>
    <w:rsid w:val="00894A0C"/>
    <w:rsid w:val="00947467"/>
    <w:rsid w:val="009518B4"/>
    <w:rsid w:val="009A12CB"/>
    <w:rsid w:val="00A011E9"/>
    <w:rsid w:val="00A159BB"/>
    <w:rsid w:val="00C34D1D"/>
    <w:rsid w:val="00CA527C"/>
    <w:rsid w:val="00D374C1"/>
    <w:rsid w:val="00DE3089"/>
    <w:rsid w:val="00E63FC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A32A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 w:type="paragraph" w:customStyle="1" w:styleId="3871F4C8F6E14B05BF9EE73CF8984495">
    <w:name w:val="3871F4C8F6E14B05BF9EE73CF8984495"/>
    <w:rsid w:val="007A32A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   COMMISSION EUROPÉENNE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6F8ED5F-9F28-4D1B-98BD-0940CD0E7CA6}"/>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infopath/2007/PartnerControls"/>
    <ds:schemaRef ds:uri="30c666ed-fe46-43d6-bf30-6de2567680e6"/>
    <ds:schemaRef ds:uri="http://www.w3.org/XML/1998/namespace"/>
    <ds:schemaRef ds:uri="http://schemas.microsoft.com/office/2006/documentManagement/types"/>
    <ds:schemaRef ds:uri="http://purl.org/dc/elements/1.1/"/>
    <ds:schemaRef ds:uri="http://purl.org/dc/dcmitype/"/>
    <ds:schemaRef ds:uri="http://schemas.microsoft.com/office/2006/metadata/properties"/>
    <ds:schemaRef ds:uri="http://schemas.openxmlformats.org/package/2006/metadata/core-properties"/>
    <ds:schemaRef ds:uri="http://purl.org/dc/terms/"/>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2023-04-05T10:36:00.0000000Z</lastPrinted>
  <dcterms:created xsi:type="dcterms:W3CDTF">2025-09-09T12:40:00.0000000Z</dcterms:created>
  <dcterms:modified xsi:type="dcterms:W3CDTF">2025-09-17T11:55:49.9923183Z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